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DD2" w:rsidRPr="00733878" w:rsidRDefault="00733878" w:rsidP="00733878">
      <w:pPr>
        <w:pStyle w:val="DOB1"/>
        <w:rPr>
          <w:rFonts w:eastAsia="Calibri"/>
        </w:rPr>
      </w:pPr>
      <w:r w:rsidRPr="00733878">
        <w:t>Entity Name:</w:t>
      </w:r>
      <w:r w:rsidR="00963DD2" w:rsidRPr="00733878">
        <w:rPr>
          <w:rFonts w:eastAsia="Calibri"/>
        </w:rPr>
        <w:tab/>
      </w:r>
      <w:bookmarkStart w:id="0" w:name="_GoBack"/>
      <w:bookmarkEnd w:id="0"/>
      <w:r w:rsidR="00963DD2" w:rsidRPr="00733878">
        <w:rPr>
          <w:rFonts w:eastAsia="Calibri"/>
        </w:rPr>
        <w:t xml:space="preserve">Prepared by: </w:t>
      </w:r>
    </w:p>
    <w:p w:rsidR="00963DD2" w:rsidRPr="00733878" w:rsidRDefault="0071473D" w:rsidP="00733878">
      <w:pPr>
        <w:pStyle w:val="DOB2"/>
      </w:pPr>
      <w:r>
        <w:t>NMLS/</w:t>
      </w:r>
      <w:r w:rsidR="00963DD2" w:rsidRPr="00733878">
        <w:t xml:space="preserve">License Number: </w:t>
      </w:r>
      <w:r w:rsidR="002A6F3B" w:rsidRPr="00733878">
        <w:fldChar w:fldCharType="begin">
          <w:ffData>
            <w:name w:val=""/>
            <w:enabled/>
            <w:calcOnExit w:val="0"/>
            <w:textInput>
              <w:maxLength w:val="10"/>
            </w:textInput>
          </w:ffData>
        </w:fldChar>
      </w:r>
      <w:r w:rsidR="00963DD2" w:rsidRPr="00733878">
        <w:instrText xml:space="preserve"> FORMTEXT </w:instrText>
      </w:r>
      <w:r w:rsidR="002A6F3B" w:rsidRPr="00733878">
        <w:fldChar w:fldCharType="separate"/>
      </w:r>
      <w:r w:rsidR="00963DD2" w:rsidRPr="00733878">
        <w:rPr>
          <w:rFonts w:hAnsi="Arial" w:cs="Arial"/>
        </w:rPr>
        <w:t> </w:t>
      </w:r>
      <w:r w:rsidR="00963DD2" w:rsidRPr="00733878">
        <w:rPr>
          <w:rFonts w:hAnsi="Arial" w:cs="Arial"/>
        </w:rPr>
        <w:t> </w:t>
      </w:r>
      <w:r w:rsidR="00963DD2" w:rsidRPr="00733878">
        <w:rPr>
          <w:rFonts w:hAnsi="Arial" w:cs="Arial"/>
        </w:rPr>
        <w:t> </w:t>
      </w:r>
      <w:r w:rsidR="00963DD2" w:rsidRPr="00733878">
        <w:rPr>
          <w:rFonts w:hAnsi="Arial" w:cs="Arial"/>
        </w:rPr>
        <w:t> </w:t>
      </w:r>
      <w:r w:rsidR="00963DD2" w:rsidRPr="00733878">
        <w:rPr>
          <w:rFonts w:hAnsi="Arial" w:cs="Arial"/>
        </w:rPr>
        <w:t> </w:t>
      </w:r>
      <w:r w:rsidR="002A6F3B" w:rsidRPr="00733878">
        <w:fldChar w:fldCharType="end"/>
      </w:r>
      <w:r w:rsidR="00963DD2" w:rsidRPr="00733878">
        <w:tab/>
        <w:t xml:space="preserve">Date: </w:t>
      </w:r>
    </w:p>
    <w:tbl>
      <w:tblPr>
        <w:tblW w:w="0" w:type="auto"/>
        <w:tblBorders>
          <w:top w:val="single" w:sz="18" w:space="0" w:color="auto"/>
        </w:tblBorders>
        <w:tblLook w:val="04A0" w:firstRow="1" w:lastRow="0" w:firstColumn="1" w:lastColumn="0" w:noHBand="0" w:noVBand="1"/>
      </w:tblPr>
      <w:tblGrid>
        <w:gridCol w:w="13158"/>
      </w:tblGrid>
      <w:tr w:rsidR="00963DD2" w:rsidRPr="00963DD2" w:rsidTr="005309C7">
        <w:tc>
          <w:tcPr>
            <w:tcW w:w="13158" w:type="dxa"/>
          </w:tcPr>
          <w:p w:rsidR="00963DD2" w:rsidRPr="005E2DF9" w:rsidRDefault="00963DD2" w:rsidP="00963DD2">
            <w:pPr>
              <w:rPr>
                <w:b/>
                <w:szCs w:val="24"/>
              </w:rPr>
            </w:pPr>
          </w:p>
        </w:tc>
      </w:tr>
    </w:tbl>
    <w:p w:rsidR="000959A5" w:rsidRPr="00596560" w:rsidRDefault="00D80024" w:rsidP="00D80024">
      <w:pPr>
        <w:rPr>
          <w:rFonts w:ascii="Calibri" w:hAnsi="Calibri" w:cs="Calibri"/>
          <w:szCs w:val="24"/>
        </w:rPr>
      </w:pPr>
      <w:r w:rsidRPr="00596560">
        <w:rPr>
          <w:rFonts w:ascii="Calibri" w:hAnsi="Calibri" w:cs="Calibri"/>
          <w:szCs w:val="24"/>
        </w:rPr>
        <w:t>Examiners should use this template to evaluate the entity’s compliance management system.</w:t>
      </w:r>
      <w:r w:rsidR="00793160" w:rsidRPr="00596560">
        <w:rPr>
          <w:rFonts w:ascii="Calibri" w:hAnsi="Calibri" w:cs="Calibri"/>
          <w:szCs w:val="24"/>
        </w:rPr>
        <w:t xml:space="preserve"> </w:t>
      </w:r>
      <w:r w:rsidRPr="00596560">
        <w:rPr>
          <w:rFonts w:ascii="Calibri" w:hAnsi="Calibri" w:cs="Calibri"/>
          <w:szCs w:val="24"/>
        </w:rPr>
        <w:t xml:space="preserve">The review should cover the items listed below (and </w:t>
      </w:r>
      <w:r w:rsidR="002D3FFB" w:rsidRPr="00596560">
        <w:rPr>
          <w:rFonts w:ascii="Calibri" w:hAnsi="Calibri" w:cs="Calibri"/>
          <w:szCs w:val="24"/>
        </w:rPr>
        <w:t xml:space="preserve">detailed </w:t>
      </w:r>
      <w:r w:rsidRPr="00596560">
        <w:rPr>
          <w:rFonts w:ascii="Calibri" w:hAnsi="Calibri" w:cs="Calibri"/>
          <w:szCs w:val="24"/>
        </w:rPr>
        <w:t>on the following pages) that are the common elements of an effective compliance management program.</w:t>
      </w:r>
    </w:p>
    <w:p w:rsidR="0002393E" w:rsidRPr="00596560" w:rsidRDefault="002A6F3B" w:rsidP="0002393E">
      <w:pPr>
        <w:pStyle w:val="TOC1"/>
        <w:spacing w:after="576"/>
        <w:rPr>
          <w:rFonts w:ascii="Calibri" w:hAnsi="Calibri" w:cs="Calibri"/>
          <w:noProof/>
        </w:rPr>
      </w:pPr>
      <w:r w:rsidRPr="00596560">
        <w:rPr>
          <w:rFonts w:ascii="Calibri" w:hAnsi="Calibri" w:cs="Calibri"/>
          <w:szCs w:val="24"/>
        </w:rPr>
        <w:fldChar w:fldCharType="begin"/>
      </w:r>
      <w:r w:rsidR="0002393E" w:rsidRPr="00596560">
        <w:rPr>
          <w:rFonts w:ascii="Calibri" w:hAnsi="Calibri" w:cs="Calibri"/>
          <w:szCs w:val="24"/>
        </w:rPr>
        <w:instrText xml:space="preserve"> TOC \o "1-1" \h \z \u </w:instrText>
      </w:r>
      <w:r w:rsidRPr="00596560">
        <w:rPr>
          <w:rFonts w:ascii="Calibri" w:hAnsi="Calibri" w:cs="Calibri"/>
          <w:szCs w:val="24"/>
        </w:rPr>
        <w:fldChar w:fldCharType="separate"/>
      </w:r>
    </w:p>
    <w:p w:rsidR="0002393E" w:rsidRDefault="0057005A" w:rsidP="0002393E">
      <w:pPr>
        <w:pStyle w:val="TOC1"/>
        <w:spacing w:after="576"/>
        <w:rPr>
          <w:rFonts w:ascii="Calibri" w:hAnsi="Calibri" w:cs="Calibri"/>
        </w:rPr>
      </w:pPr>
      <w:hyperlink w:anchor="_Toc322683954" w:history="1">
        <w:r w:rsidR="007C39BB" w:rsidRPr="00E7711A">
          <w:rPr>
            <w:rStyle w:val="Hyperlink"/>
            <w:rFonts w:ascii="Calibri" w:hAnsi="Calibri" w:cs="Calibri"/>
            <w:noProof/>
            <w:color w:val="auto"/>
          </w:rPr>
          <w:t>I</w:t>
        </w:r>
        <w:r w:rsidR="0002393E" w:rsidRPr="00E7711A">
          <w:rPr>
            <w:rStyle w:val="Hyperlink"/>
            <w:rFonts w:ascii="Calibri" w:hAnsi="Calibri" w:cs="Calibri"/>
            <w:noProof/>
            <w:color w:val="auto"/>
          </w:rPr>
          <w:t>.</w:t>
        </w:r>
        <w:r w:rsidR="0002393E" w:rsidRPr="00E7711A">
          <w:rPr>
            <w:rFonts w:ascii="Calibri" w:hAnsi="Calibri" w:cs="Calibri"/>
            <w:noProof/>
          </w:rPr>
          <w:tab/>
        </w:r>
        <w:r w:rsidR="00FB3A9B">
          <w:rPr>
            <w:rStyle w:val="Hyperlink"/>
            <w:rFonts w:ascii="Calibri" w:hAnsi="Calibri" w:cs="Calibri"/>
            <w:noProof/>
            <w:color w:val="auto"/>
          </w:rPr>
          <w:t>Consumer Complaint Response</w:t>
        </w:r>
        <w:r w:rsidR="0002393E" w:rsidRPr="00E7711A">
          <w:rPr>
            <w:rFonts w:ascii="Calibri" w:hAnsi="Calibri" w:cs="Calibri"/>
            <w:noProof/>
            <w:webHidden/>
          </w:rPr>
          <w:tab/>
        </w:r>
        <w:r w:rsidR="002A6F3B" w:rsidRPr="00E7711A">
          <w:rPr>
            <w:rFonts w:ascii="Calibri" w:hAnsi="Calibri" w:cs="Calibri"/>
          </w:rPr>
          <w:fldChar w:fldCharType="begin">
            <w:ffData>
              <w:name w:val="Text1"/>
              <w:enabled/>
              <w:calcOnExit w:val="0"/>
              <w:textInput>
                <w:default w:val="[#]"/>
                <w:maxLength w:val="3"/>
              </w:textInput>
            </w:ffData>
          </w:fldChar>
        </w:r>
        <w:r w:rsidR="008F6D98" w:rsidRPr="00E7711A">
          <w:rPr>
            <w:rFonts w:ascii="Calibri" w:hAnsi="Calibri" w:cs="Calibri"/>
          </w:rPr>
          <w:instrText xml:space="preserve"> FORMTEXT </w:instrText>
        </w:r>
        <w:r w:rsidR="002A6F3B" w:rsidRPr="00E7711A">
          <w:rPr>
            <w:rFonts w:ascii="Calibri" w:hAnsi="Calibri" w:cs="Calibri"/>
          </w:rPr>
        </w:r>
        <w:r w:rsidR="002A6F3B" w:rsidRPr="00E7711A">
          <w:rPr>
            <w:rFonts w:ascii="Calibri" w:hAnsi="Calibri" w:cs="Calibri"/>
          </w:rPr>
          <w:fldChar w:fldCharType="separate"/>
        </w:r>
        <w:r w:rsidR="008F6D98" w:rsidRPr="00E7711A">
          <w:rPr>
            <w:rFonts w:ascii="Calibri" w:hAnsi="Calibri" w:cs="Calibri"/>
            <w:noProof/>
          </w:rPr>
          <w:t>[#]</w:t>
        </w:r>
        <w:r w:rsidR="002A6F3B" w:rsidRPr="00E7711A">
          <w:rPr>
            <w:rFonts w:ascii="Calibri" w:hAnsi="Calibri" w:cs="Calibri"/>
          </w:rPr>
          <w:fldChar w:fldCharType="end"/>
        </w:r>
      </w:hyperlink>
    </w:p>
    <w:p w:rsidR="0057005A" w:rsidRPr="00E7711A" w:rsidRDefault="0057005A" w:rsidP="0057005A">
      <w:pPr>
        <w:pStyle w:val="TOC1"/>
        <w:spacing w:after="576"/>
        <w:rPr>
          <w:rStyle w:val="Hyperlink"/>
          <w:rFonts w:ascii="Calibri" w:hAnsi="Calibri" w:cs="Calibri"/>
          <w:noProof/>
          <w:color w:val="auto"/>
        </w:rPr>
      </w:pPr>
      <w:hyperlink w:anchor="_Toc322683954" w:history="1">
        <w:r w:rsidRPr="00E7711A">
          <w:rPr>
            <w:rStyle w:val="Hyperlink"/>
            <w:rFonts w:ascii="Calibri" w:hAnsi="Calibri" w:cs="Calibri"/>
            <w:noProof/>
            <w:color w:val="auto"/>
          </w:rPr>
          <w:t>I</w:t>
        </w:r>
        <w:r>
          <w:rPr>
            <w:rStyle w:val="Hyperlink"/>
            <w:rFonts w:ascii="Calibri" w:hAnsi="Calibri" w:cs="Calibri"/>
            <w:noProof/>
            <w:color w:val="auto"/>
          </w:rPr>
          <w:t>-1</w:t>
        </w:r>
        <w:r w:rsidRPr="00E7711A">
          <w:rPr>
            <w:rStyle w:val="Hyperlink"/>
            <w:rFonts w:ascii="Calibri" w:hAnsi="Calibri" w:cs="Calibri"/>
            <w:noProof/>
            <w:color w:val="auto"/>
          </w:rPr>
          <w:t>.</w:t>
        </w:r>
        <w:r w:rsidRPr="00E7711A">
          <w:rPr>
            <w:rFonts w:ascii="Calibri" w:hAnsi="Calibri" w:cs="Calibri"/>
            <w:noProof/>
          </w:rPr>
          <w:tab/>
        </w:r>
        <w:r>
          <w:rPr>
            <w:rStyle w:val="Hyperlink"/>
            <w:rFonts w:ascii="Calibri" w:hAnsi="Calibri" w:cs="Calibri"/>
            <w:noProof/>
            <w:color w:val="auto"/>
          </w:rPr>
          <w:t>Exam report comment</w:t>
        </w:r>
        <w:r w:rsidRPr="00E7711A">
          <w:rPr>
            <w:rFonts w:ascii="Calibri" w:hAnsi="Calibri" w:cs="Calibri"/>
            <w:noProof/>
            <w:webHidden/>
          </w:rPr>
          <w:tab/>
        </w:r>
        <w:r w:rsidRPr="00E7711A">
          <w:rPr>
            <w:rFonts w:ascii="Calibri" w:hAnsi="Calibri" w:cs="Calibri"/>
          </w:rPr>
          <w:fldChar w:fldCharType="begin">
            <w:ffData>
              <w:name w:val="Text1"/>
              <w:enabled/>
              <w:calcOnExit w:val="0"/>
              <w:textInput>
                <w:default w:val="[#]"/>
                <w:maxLength w:val="3"/>
              </w:textInput>
            </w:ffData>
          </w:fldChar>
        </w:r>
        <w:r w:rsidRPr="00E7711A">
          <w:rPr>
            <w:rFonts w:ascii="Calibri" w:hAnsi="Calibri" w:cs="Calibri"/>
          </w:rPr>
          <w:instrText xml:space="preserve"> FORMTEXT </w:instrText>
        </w:r>
        <w:r w:rsidRPr="00E7711A">
          <w:rPr>
            <w:rFonts w:ascii="Calibri" w:hAnsi="Calibri" w:cs="Calibri"/>
          </w:rPr>
        </w:r>
        <w:r w:rsidRPr="00E7711A">
          <w:rPr>
            <w:rFonts w:ascii="Calibri" w:hAnsi="Calibri" w:cs="Calibri"/>
          </w:rPr>
          <w:fldChar w:fldCharType="separate"/>
        </w:r>
        <w:r w:rsidRPr="00E7711A">
          <w:rPr>
            <w:rFonts w:ascii="Calibri" w:hAnsi="Calibri" w:cs="Calibri"/>
            <w:noProof/>
          </w:rPr>
          <w:t>[#]</w:t>
        </w:r>
        <w:r w:rsidRPr="00E7711A">
          <w:rPr>
            <w:rFonts w:ascii="Calibri" w:hAnsi="Calibri" w:cs="Calibri"/>
          </w:rPr>
          <w:fldChar w:fldCharType="end"/>
        </w:r>
      </w:hyperlink>
    </w:p>
    <w:p w:rsidR="0057005A" w:rsidRPr="0057005A" w:rsidRDefault="0057005A" w:rsidP="0057005A"/>
    <w:p w:rsidR="0002393E" w:rsidRDefault="002A6F3B" w:rsidP="00834D5E">
      <w:pPr>
        <w:tabs>
          <w:tab w:val="left" w:pos="720"/>
        </w:tabs>
        <w:spacing w:afterLines="240" w:after="576"/>
        <w:rPr>
          <w:szCs w:val="24"/>
        </w:rPr>
      </w:pPr>
      <w:r w:rsidRPr="00596560">
        <w:rPr>
          <w:rFonts w:ascii="Calibri" w:hAnsi="Calibri" w:cs="Calibri"/>
          <w:szCs w:val="24"/>
        </w:rPr>
        <w:fldChar w:fldCharType="end"/>
      </w:r>
    </w:p>
    <w:p w:rsidR="0002393E" w:rsidRPr="00793160" w:rsidRDefault="0002393E" w:rsidP="0002393E">
      <w:pPr>
        <w:rPr>
          <w:szCs w:val="24"/>
        </w:rPr>
        <w:sectPr w:rsidR="0002393E" w:rsidRPr="00793160" w:rsidSect="00963DD2">
          <w:headerReference w:type="default" r:id="rId12"/>
          <w:footerReference w:type="default" r:id="rId13"/>
          <w:headerReference w:type="first" r:id="rId14"/>
          <w:footerReference w:type="first" r:id="rId15"/>
          <w:pgSz w:w="15840" w:h="12240" w:orient="landscape"/>
          <w:pgMar w:top="1440" w:right="1440" w:bottom="1440" w:left="1440" w:header="720" w:footer="720" w:gutter="0"/>
          <w:cols w:space="720"/>
          <w:titlePg/>
          <w:docGrid w:linePitch="360"/>
        </w:sectPr>
      </w:pPr>
    </w:p>
    <w:p w:rsidR="002E1E63" w:rsidRPr="00050F41" w:rsidRDefault="002E1E63" w:rsidP="002E1E63">
      <w:pPr>
        <w:rPr>
          <w:rFonts w:ascii="Calibri" w:hAnsi="Calibri" w:cs="Calibri"/>
          <w:sz w:val="12"/>
        </w:rPr>
      </w:pPr>
    </w:p>
    <w:p w:rsidR="00FB0049" w:rsidRDefault="00FB0049">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6480"/>
      </w:tblGrid>
      <w:tr w:rsidR="00624434" w:rsidRPr="00050F41" w:rsidTr="00624434">
        <w:tc>
          <w:tcPr>
            <w:tcW w:w="12960" w:type="dxa"/>
            <w:gridSpan w:val="2"/>
            <w:tcBorders>
              <w:top w:val="single" w:sz="4" w:space="0" w:color="auto"/>
              <w:left w:val="single" w:sz="4" w:space="0" w:color="auto"/>
              <w:bottom w:val="single" w:sz="4" w:space="0" w:color="auto"/>
              <w:right w:val="single" w:sz="4" w:space="0" w:color="auto"/>
            </w:tcBorders>
            <w:shd w:val="clear" w:color="auto" w:fill="D9D9D9"/>
          </w:tcPr>
          <w:p w:rsidR="00624434" w:rsidRPr="00523214" w:rsidRDefault="00523214" w:rsidP="00FB3A9B">
            <w:pPr>
              <w:pStyle w:val="Heading1"/>
              <w:numPr>
                <w:ilvl w:val="0"/>
                <w:numId w:val="43"/>
              </w:numPr>
              <w:rPr>
                <w:rFonts w:cs="Calibri"/>
              </w:rPr>
            </w:pPr>
            <w:r>
              <w:rPr>
                <w:rFonts w:cs="Calibri"/>
              </w:rPr>
              <w:t xml:space="preserve"> </w:t>
            </w:r>
            <w:r w:rsidRPr="00624434">
              <w:rPr>
                <w:rFonts w:cs="Calibri"/>
              </w:rPr>
              <w:t xml:space="preserve">Examination Procedures </w:t>
            </w:r>
            <w:r>
              <w:rPr>
                <w:rFonts w:cs="Calibri"/>
              </w:rPr>
              <w:t>–</w:t>
            </w:r>
            <w:r w:rsidRPr="00624434">
              <w:rPr>
                <w:rFonts w:cs="Calibri"/>
              </w:rPr>
              <w:t xml:space="preserve"> </w:t>
            </w:r>
            <w:r w:rsidR="00FB3A9B">
              <w:rPr>
                <w:rFonts w:cs="Calibri"/>
              </w:rPr>
              <w:t>Consumer Complaint Response</w:t>
            </w:r>
          </w:p>
        </w:tc>
      </w:tr>
      <w:tr w:rsidR="00FB0049" w:rsidRPr="00050F41" w:rsidTr="00793160">
        <w:tc>
          <w:tcPr>
            <w:tcW w:w="6480" w:type="dxa"/>
            <w:shd w:val="clear" w:color="auto" w:fill="D9D9D9"/>
          </w:tcPr>
          <w:p w:rsidR="00FB0049" w:rsidRPr="00050F41" w:rsidRDefault="00FB3A9B" w:rsidP="00FD5C6B">
            <w:pPr>
              <w:autoSpaceDE w:val="0"/>
              <w:autoSpaceDN w:val="0"/>
              <w:adjustRightInd w:val="0"/>
              <w:rPr>
                <w:rFonts w:ascii="Calibri" w:hAnsi="Calibri" w:cs="Calibri"/>
                <w:b/>
                <w:bCs/>
                <w:i/>
                <w:sz w:val="20"/>
              </w:rPr>
            </w:pPr>
            <w:r w:rsidRPr="00050F41">
              <w:rPr>
                <w:rFonts w:ascii="Calibri" w:hAnsi="Calibri" w:cs="Calibri"/>
                <w:b/>
                <w:i/>
                <w:sz w:val="20"/>
              </w:rPr>
              <w:t>To evaluate the adequacy of the consumer complaint responses, examiners should:</w:t>
            </w:r>
          </w:p>
        </w:tc>
        <w:tc>
          <w:tcPr>
            <w:tcW w:w="6480" w:type="dxa"/>
            <w:shd w:val="clear" w:color="auto" w:fill="D9D9D9"/>
          </w:tcPr>
          <w:p w:rsidR="00FB0049" w:rsidRPr="00050F41" w:rsidRDefault="00FB0049" w:rsidP="00FD5C6B">
            <w:pPr>
              <w:autoSpaceDE w:val="0"/>
              <w:autoSpaceDN w:val="0"/>
              <w:adjustRightInd w:val="0"/>
              <w:jc w:val="center"/>
              <w:rPr>
                <w:rFonts w:ascii="Calibri" w:hAnsi="Calibri" w:cs="Calibri"/>
                <w:b/>
                <w:bCs/>
                <w:i/>
                <w:sz w:val="20"/>
              </w:rPr>
            </w:pPr>
            <w:r w:rsidRPr="00050F41">
              <w:rPr>
                <w:rFonts w:ascii="Calibri" w:hAnsi="Calibri" w:cs="Calibri"/>
                <w:b/>
                <w:bCs/>
                <w:i/>
                <w:sz w:val="20"/>
              </w:rPr>
              <w:t>C</w:t>
            </w:r>
            <w:r w:rsidR="00D80CA2" w:rsidRPr="00050F41">
              <w:rPr>
                <w:rFonts w:ascii="Calibri" w:hAnsi="Calibri" w:cs="Calibri"/>
                <w:b/>
                <w:bCs/>
                <w:i/>
                <w:sz w:val="20"/>
              </w:rPr>
              <w:t>omments</w:t>
            </w:r>
          </w:p>
        </w:tc>
      </w:tr>
      <w:tr w:rsidR="00D95B2A" w:rsidRPr="00050F41" w:rsidTr="00793160">
        <w:tc>
          <w:tcPr>
            <w:tcW w:w="6480" w:type="dxa"/>
            <w:shd w:val="clear" w:color="auto" w:fill="auto"/>
          </w:tcPr>
          <w:p w:rsidR="00D95B2A" w:rsidRPr="00050F41" w:rsidRDefault="00D95B2A" w:rsidP="00346A3F">
            <w:pPr>
              <w:numPr>
                <w:ilvl w:val="0"/>
                <w:numId w:val="11"/>
              </w:numPr>
              <w:autoSpaceDE w:val="0"/>
              <w:autoSpaceDN w:val="0"/>
              <w:adjustRightInd w:val="0"/>
              <w:spacing w:before="60"/>
              <w:jc w:val="both"/>
              <w:rPr>
                <w:rFonts w:ascii="Calibri" w:hAnsi="Calibri" w:cs="Calibri"/>
              </w:rPr>
            </w:pPr>
            <w:r w:rsidRPr="00050F41">
              <w:rPr>
                <w:rFonts w:ascii="Calibri" w:hAnsi="Calibri" w:cs="Calibri"/>
              </w:rPr>
              <w:t xml:space="preserve">Obtain and review records of recent consumer complaints and inquiries received by </w:t>
            </w:r>
            <w:r>
              <w:rPr>
                <w:rFonts w:ascii="Calibri" w:hAnsi="Calibri" w:cs="Calibri"/>
              </w:rPr>
              <w:t>the Division</w:t>
            </w:r>
            <w:r w:rsidRPr="00050F41">
              <w:rPr>
                <w:rFonts w:ascii="Calibri" w:hAnsi="Calibri" w:cs="Calibri"/>
              </w:rPr>
              <w:t xml:space="preserve"> about the entity and its service providers.</w:t>
            </w:r>
          </w:p>
        </w:tc>
        <w:tc>
          <w:tcPr>
            <w:tcW w:w="6480" w:type="dxa"/>
            <w:shd w:val="clear" w:color="auto" w:fill="auto"/>
          </w:tcPr>
          <w:p w:rsidR="00D95B2A" w:rsidRPr="00050F41" w:rsidRDefault="00D95B2A" w:rsidP="00FD5C6B">
            <w:pPr>
              <w:rPr>
                <w:rFonts w:ascii="Calibri" w:hAnsi="Calibri" w:cs="Calibri"/>
              </w:rPr>
            </w:pPr>
            <w:r w:rsidRPr="0047571A">
              <w:rPr>
                <w:rFonts w:ascii="Calibri" w:hAnsi="Calibri" w:cs="Calibri"/>
              </w:rPr>
              <w:fldChar w:fldCharType="begin">
                <w:ffData>
                  <w:name w:val="Text1"/>
                  <w:enabled/>
                  <w:calcOnExit w:val="0"/>
                  <w:textInput>
                    <w:default w:val="[Click&amp;type]"/>
                  </w:textInput>
                </w:ffData>
              </w:fldChar>
            </w:r>
            <w:r w:rsidRPr="0047571A">
              <w:rPr>
                <w:rFonts w:ascii="Calibri" w:hAnsi="Calibri" w:cs="Calibri"/>
              </w:rPr>
              <w:instrText xml:space="preserve"> FORMTEXT </w:instrText>
            </w:r>
            <w:r w:rsidRPr="0047571A">
              <w:rPr>
                <w:rFonts w:ascii="Calibri" w:hAnsi="Calibri" w:cs="Calibri"/>
              </w:rPr>
            </w:r>
            <w:r w:rsidRPr="0047571A">
              <w:rPr>
                <w:rFonts w:ascii="Calibri" w:hAnsi="Calibri" w:cs="Calibri"/>
              </w:rPr>
              <w:fldChar w:fldCharType="separate"/>
            </w:r>
            <w:r w:rsidRPr="0047571A">
              <w:rPr>
                <w:rFonts w:ascii="Calibri" w:hAnsi="Calibri" w:cs="Calibri"/>
                <w:noProof/>
              </w:rPr>
              <w:t>[Click&amp;type]</w:t>
            </w:r>
            <w:r w:rsidRPr="0047571A">
              <w:rPr>
                <w:rFonts w:ascii="Calibri" w:hAnsi="Calibri" w:cs="Calibri"/>
              </w:rPr>
              <w:fldChar w:fldCharType="end"/>
            </w:r>
          </w:p>
        </w:tc>
      </w:tr>
      <w:tr w:rsidR="00D95B2A" w:rsidRPr="00050F41" w:rsidTr="00793160">
        <w:tc>
          <w:tcPr>
            <w:tcW w:w="6480" w:type="dxa"/>
            <w:shd w:val="clear" w:color="auto" w:fill="auto"/>
          </w:tcPr>
          <w:p w:rsidR="00D95B2A" w:rsidRPr="00050F41" w:rsidRDefault="00D95B2A" w:rsidP="00346A3F">
            <w:pPr>
              <w:numPr>
                <w:ilvl w:val="0"/>
                <w:numId w:val="11"/>
              </w:numPr>
              <w:autoSpaceDE w:val="0"/>
              <w:autoSpaceDN w:val="0"/>
              <w:adjustRightInd w:val="0"/>
              <w:spacing w:before="60"/>
              <w:jc w:val="both"/>
              <w:rPr>
                <w:rFonts w:ascii="Calibri" w:hAnsi="Calibri" w:cs="Calibri"/>
              </w:rPr>
            </w:pPr>
            <w:r w:rsidRPr="00050F41">
              <w:rPr>
                <w:rFonts w:ascii="Calibri" w:hAnsi="Calibri" w:cs="Calibri"/>
              </w:rPr>
              <w:t xml:space="preserve">Review industry or other benchmarking complaint data collected by </w:t>
            </w:r>
            <w:r>
              <w:rPr>
                <w:rFonts w:ascii="Calibri" w:hAnsi="Calibri" w:cs="Calibri"/>
              </w:rPr>
              <w:t>the Division.</w:t>
            </w:r>
          </w:p>
        </w:tc>
        <w:tc>
          <w:tcPr>
            <w:tcW w:w="6480" w:type="dxa"/>
            <w:shd w:val="clear" w:color="auto" w:fill="auto"/>
          </w:tcPr>
          <w:p w:rsidR="00D95B2A" w:rsidRPr="00050F41" w:rsidRDefault="00D95B2A" w:rsidP="00FD5C6B">
            <w:pPr>
              <w:rPr>
                <w:rFonts w:ascii="Calibri" w:hAnsi="Calibri" w:cs="Calibri"/>
              </w:rPr>
            </w:pPr>
            <w:r w:rsidRPr="0047571A">
              <w:rPr>
                <w:rFonts w:ascii="Calibri" w:hAnsi="Calibri" w:cs="Calibri"/>
              </w:rPr>
              <w:fldChar w:fldCharType="begin">
                <w:ffData>
                  <w:name w:val="Text1"/>
                  <w:enabled/>
                  <w:calcOnExit w:val="0"/>
                  <w:textInput>
                    <w:default w:val="[Click&amp;type]"/>
                  </w:textInput>
                </w:ffData>
              </w:fldChar>
            </w:r>
            <w:r w:rsidRPr="0047571A">
              <w:rPr>
                <w:rFonts w:ascii="Calibri" w:hAnsi="Calibri" w:cs="Calibri"/>
              </w:rPr>
              <w:instrText xml:space="preserve"> FORMTEXT </w:instrText>
            </w:r>
            <w:r w:rsidRPr="0047571A">
              <w:rPr>
                <w:rFonts w:ascii="Calibri" w:hAnsi="Calibri" w:cs="Calibri"/>
              </w:rPr>
            </w:r>
            <w:r w:rsidRPr="0047571A">
              <w:rPr>
                <w:rFonts w:ascii="Calibri" w:hAnsi="Calibri" w:cs="Calibri"/>
              </w:rPr>
              <w:fldChar w:fldCharType="separate"/>
            </w:r>
            <w:r w:rsidRPr="0047571A">
              <w:rPr>
                <w:rFonts w:ascii="Calibri" w:hAnsi="Calibri" w:cs="Calibri"/>
                <w:noProof/>
              </w:rPr>
              <w:t>[Click&amp;type]</w:t>
            </w:r>
            <w:r w:rsidRPr="0047571A">
              <w:rPr>
                <w:rFonts w:ascii="Calibri" w:hAnsi="Calibri" w:cs="Calibri"/>
              </w:rPr>
              <w:fldChar w:fldCharType="end"/>
            </w:r>
          </w:p>
        </w:tc>
      </w:tr>
      <w:tr w:rsidR="00D95B2A" w:rsidRPr="00050F41" w:rsidTr="00793160">
        <w:tc>
          <w:tcPr>
            <w:tcW w:w="6480" w:type="dxa"/>
            <w:shd w:val="clear" w:color="auto" w:fill="auto"/>
          </w:tcPr>
          <w:p w:rsidR="00D95B2A" w:rsidRPr="00050F41" w:rsidRDefault="00D95B2A" w:rsidP="00346A3F">
            <w:pPr>
              <w:numPr>
                <w:ilvl w:val="0"/>
                <w:numId w:val="11"/>
              </w:numPr>
              <w:autoSpaceDE w:val="0"/>
              <w:autoSpaceDN w:val="0"/>
              <w:adjustRightInd w:val="0"/>
              <w:spacing w:before="60"/>
              <w:jc w:val="both"/>
              <w:rPr>
                <w:rFonts w:ascii="Calibri" w:hAnsi="Calibri" w:cs="Calibri"/>
              </w:rPr>
            </w:pPr>
            <w:r w:rsidRPr="00050F41">
              <w:rPr>
                <w:rFonts w:ascii="Calibri" w:hAnsi="Calibri" w:cs="Calibri"/>
              </w:rPr>
              <w:t>To the extent available, obtain and review records of recent consumer complaints against the institution from:</w:t>
            </w:r>
          </w:p>
          <w:p w:rsidR="00D95B2A" w:rsidRPr="00050F41" w:rsidRDefault="00D95B2A" w:rsidP="00346A3F">
            <w:pPr>
              <w:numPr>
                <w:ilvl w:val="1"/>
                <w:numId w:val="11"/>
              </w:numPr>
              <w:autoSpaceDE w:val="0"/>
              <w:autoSpaceDN w:val="0"/>
              <w:adjustRightInd w:val="0"/>
              <w:spacing w:before="60"/>
              <w:jc w:val="both"/>
              <w:rPr>
                <w:rFonts w:ascii="Calibri" w:hAnsi="Calibri" w:cs="Calibri"/>
              </w:rPr>
            </w:pPr>
            <w:r w:rsidRPr="00050F41">
              <w:rPr>
                <w:rFonts w:ascii="Calibri" w:hAnsi="Calibri" w:cs="Calibri"/>
              </w:rPr>
              <w:t>The prudential regulator;</w:t>
            </w:r>
          </w:p>
          <w:p w:rsidR="00D95B2A" w:rsidRDefault="00D95B2A" w:rsidP="00346A3F">
            <w:pPr>
              <w:numPr>
                <w:ilvl w:val="1"/>
                <w:numId w:val="11"/>
              </w:numPr>
              <w:autoSpaceDE w:val="0"/>
              <w:autoSpaceDN w:val="0"/>
              <w:adjustRightInd w:val="0"/>
              <w:spacing w:before="60"/>
              <w:jc w:val="both"/>
              <w:rPr>
                <w:rFonts w:ascii="Calibri" w:hAnsi="Calibri" w:cs="Calibri"/>
              </w:rPr>
            </w:pPr>
            <w:r>
              <w:rPr>
                <w:rFonts w:ascii="Calibri" w:hAnsi="Calibri" w:cs="Calibri"/>
              </w:rPr>
              <w:t>Other s</w:t>
            </w:r>
            <w:r w:rsidRPr="00050F41">
              <w:rPr>
                <w:rFonts w:ascii="Calibri" w:hAnsi="Calibri" w:cs="Calibri"/>
              </w:rPr>
              <w:t>tate regulators;</w:t>
            </w:r>
          </w:p>
          <w:p w:rsidR="00D95B2A" w:rsidRPr="00050F41" w:rsidRDefault="00D95B2A" w:rsidP="00346A3F">
            <w:pPr>
              <w:numPr>
                <w:ilvl w:val="1"/>
                <w:numId w:val="11"/>
              </w:numPr>
              <w:autoSpaceDE w:val="0"/>
              <w:autoSpaceDN w:val="0"/>
              <w:adjustRightInd w:val="0"/>
              <w:spacing w:before="60"/>
              <w:jc w:val="both"/>
              <w:rPr>
                <w:rFonts w:ascii="Calibri" w:hAnsi="Calibri" w:cs="Calibri"/>
              </w:rPr>
            </w:pPr>
            <w:r>
              <w:rPr>
                <w:rFonts w:ascii="Calibri" w:hAnsi="Calibri" w:cs="Calibri"/>
              </w:rPr>
              <w:t>CFPB;</w:t>
            </w:r>
          </w:p>
          <w:p w:rsidR="00D95B2A" w:rsidRPr="00050F41" w:rsidRDefault="00D95B2A" w:rsidP="00346A3F">
            <w:pPr>
              <w:numPr>
                <w:ilvl w:val="1"/>
                <w:numId w:val="11"/>
              </w:numPr>
              <w:autoSpaceDE w:val="0"/>
              <w:autoSpaceDN w:val="0"/>
              <w:adjustRightInd w:val="0"/>
              <w:spacing w:before="60"/>
              <w:jc w:val="both"/>
              <w:rPr>
                <w:rFonts w:ascii="Calibri" w:hAnsi="Calibri" w:cs="Calibri"/>
              </w:rPr>
            </w:pPr>
            <w:r w:rsidRPr="00050F41">
              <w:rPr>
                <w:rFonts w:ascii="Calibri" w:hAnsi="Calibri" w:cs="Calibri"/>
              </w:rPr>
              <w:t xml:space="preserve">State attorneys general; and </w:t>
            </w:r>
          </w:p>
          <w:p w:rsidR="00D95B2A" w:rsidRPr="00050F41" w:rsidRDefault="00D95B2A" w:rsidP="00346A3F">
            <w:pPr>
              <w:numPr>
                <w:ilvl w:val="1"/>
                <w:numId w:val="11"/>
              </w:numPr>
              <w:autoSpaceDE w:val="0"/>
              <w:autoSpaceDN w:val="0"/>
              <w:adjustRightInd w:val="0"/>
              <w:spacing w:before="60"/>
              <w:jc w:val="both"/>
              <w:rPr>
                <w:rFonts w:ascii="Calibri" w:hAnsi="Calibri" w:cs="Calibri"/>
              </w:rPr>
            </w:pPr>
            <w:r w:rsidRPr="00050F41">
              <w:rPr>
                <w:rFonts w:ascii="Calibri" w:hAnsi="Calibri" w:cs="Calibri"/>
              </w:rPr>
              <w:t>Private or other industry sources.</w:t>
            </w:r>
          </w:p>
        </w:tc>
        <w:tc>
          <w:tcPr>
            <w:tcW w:w="6480" w:type="dxa"/>
            <w:shd w:val="clear" w:color="auto" w:fill="auto"/>
          </w:tcPr>
          <w:p w:rsidR="00D95B2A" w:rsidRPr="00050F41" w:rsidRDefault="00D95B2A" w:rsidP="00880078">
            <w:pPr>
              <w:autoSpaceDE w:val="0"/>
              <w:autoSpaceDN w:val="0"/>
              <w:adjustRightInd w:val="0"/>
              <w:ind w:left="-18"/>
              <w:rPr>
                <w:rFonts w:ascii="Calibri" w:hAnsi="Calibri" w:cs="Calibri"/>
              </w:rPr>
            </w:pPr>
            <w:r w:rsidRPr="0047571A">
              <w:rPr>
                <w:rFonts w:ascii="Calibri" w:hAnsi="Calibri" w:cs="Calibri"/>
              </w:rPr>
              <w:fldChar w:fldCharType="begin">
                <w:ffData>
                  <w:name w:val="Text1"/>
                  <w:enabled/>
                  <w:calcOnExit w:val="0"/>
                  <w:textInput>
                    <w:default w:val="[Click&amp;type]"/>
                  </w:textInput>
                </w:ffData>
              </w:fldChar>
            </w:r>
            <w:r w:rsidRPr="0047571A">
              <w:rPr>
                <w:rFonts w:ascii="Calibri" w:hAnsi="Calibri" w:cs="Calibri"/>
              </w:rPr>
              <w:instrText xml:space="preserve"> FORMTEXT </w:instrText>
            </w:r>
            <w:r w:rsidRPr="0047571A">
              <w:rPr>
                <w:rFonts w:ascii="Calibri" w:hAnsi="Calibri" w:cs="Calibri"/>
              </w:rPr>
            </w:r>
            <w:r w:rsidRPr="0047571A">
              <w:rPr>
                <w:rFonts w:ascii="Calibri" w:hAnsi="Calibri" w:cs="Calibri"/>
              </w:rPr>
              <w:fldChar w:fldCharType="separate"/>
            </w:r>
            <w:r w:rsidRPr="0047571A">
              <w:rPr>
                <w:rFonts w:ascii="Calibri" w:hAnsi="Calibri" w:cs="Calibri"/>
                <w:noProof/>
              </w:rPr>
              <w:t>[Click&amp;type]</w:t>
            </w:r>
            <w:r w:rsidRPr="0047571A">
              <w:rPr>
                <w:rFonts w:ascii="Calibri" w:hAnsi="Calibri" w:cs="Calibri"/>
              </w:rPr>
              <w:fldChar w:fldCharType="end"/>
            </w:r>
          </w:p>
        </w:tc>
      </w:tr>
      <w:tr w:rsidR="00D95B2A" w:rsidRPr="00050F41" w:rsidTr="00793160">
        <w:tc>
          <w:tcPr>
            <w:tcW w:w="6480" w:type="dxa"/>
            <w:shd w:val="clear" w:color="auto" w:fill="auto"/>
          </w:tcPr>
          <w:p w:rsidR="00D95B2A" w:rsidRPr="00050F41" w:rsidRDefault="00D95B2A" w:rsidP="00346A3F">
            <w:pPr>
              <w:numPr>
                <w:ilvl w:val="0"/>
                <w:numId w:val="11"/>
              </w:numPr>
              <w:autoSpaceDE w:val="0"/>
              <w:autoSpaceDN w:val="0"/>
              <w:adjustRightInd w:val="0"/>
              <w:spacing w:before="60"/>
              <w:jc w:val="both"/>
              <w:rPr>
                <w:rFonts w:ascii="Calibri" w:hAnsi="Calibri" w:cs="Calibri"/>
              </w:rPr>
            </w:pPr>
            <w:r w:rsidRPr="00050F41">
              <w:rPr>
                <w:rFonts w:ascii="Calibri" w:hAnsi="Calibri" w:cs="Calibri"/>
              </w:rPr>
              <w:t>Request and review the institution’s policies and procedures for receiving, escalating, and resolving consumer complaints and inquiries.</w:t>
            </w:r>
          </w:p>
        </w:tc>
        <w:tc>
          <w:tcPr>
            <w:tcW w:w="6480" w:type="dxa"/>
            <w:shd w:val="clear" w:color="auto" w:fill="auto"/>
          </w:tcPr>
          <w:p w:rsidR="00D95B2A" w:rsidRPr="00050F41" w:rsidRDefault="00D95B2A" w:rsidP="00FD5C6B">
            <w:pPr>
              <w:rPr>
                <w:rFonts w:ascii="Calibri" w:hAnsi="Calibri" w:cs="Calibri"/>
              </w:rPr>
            </w:pPr>
            <w:r w:rsidRPr="0047571A">
              <w:rPr>
                <w:rFonts w:ascii="Calibri" w:hAnsi="Calibri" w:cs="Calibri"/>
              </w:rPr>
              <w:fldChar w:fldCharType="begin">
                <w:ffData>
                  <w:name w:val="Text1"/>
                  <w:enabled/>
                  <w:calcOnExit w:val="0"/>
                  <w:textInput>
                    <w:default w:val="[Click&amp;type]"/>
                  </w:textInput>
                </w:ffData>
              </w:fldChar>
            </w:r>
            <w:r w:rsidRPr="0047571A">
              <w:rPr>
                <w:rFonts w:ascii="Calibri" w:hAnsi="Calibri" w:cs="Calibri"/>
              </w:rPr>
              <w:instrText xml:space="preserve"> FORMTEXT </w:instrText>
            </w:r>
            <w:r w:rsidRPr="0047571A">
              <w:rPr>
                <w:rFonts w:ascii="Calibri" w:hAnsi="Calibri" w:cs="Calibri"/>
              </w:rPr>
            </w:r>
            <w:r w:rsidRPr="0047571A">
              <w:rPr>
                <w:rFonts w:ascii="Calibri" w:hAnsi="Calibri" w:cs="Calibri"/>
              </w:rPr>
              <w:fldChar w:fldCharType="separate"/>
            </w:r>
            <w:r w:rsidRPr="0047571A">
              <w:rPr>
                <w:rFonts w:ascii="Calibri" w:hAnsi="Calibri" w:cs="Calibri"/>
                <w:noProof/>
              </w:rPr>
              <w:t>[Click&amp;type]</w:t>
            </w:r>
            <w:r w:rsidRPr="0047571A">
              <w:rPr>
                <w:rFonts w:ascii="Calibri" w:hAnsi="Calibri" w:cs="Calibri"/>
              </w:rPr>
              <w:fldChar w:fldCharType="end"/>
            </w:r>
          </w:p>
        </w:tc>
      </w:tr>
      <w:tr w:rsidR="00D95B2A" w:rsidRPr="00050F41" w:rsidTr="00793160">
        <w:tc>
          <w:tcPr>
            <w:tcW w:w="6480" w:type="dxa"/>
            <w:shd w:val="clear" w:color="auto" w:fill="auto"/>
          </w:tcPr>
          <w:p w:rsidR="00D95B2A" w:rsidRPr="00050F41" w:rsidRDefault="00D95B2A" w:rsidP="00346A3F">
            <w:pPr>
              <w:numPr>
                <w:ilvl w:val="0"/>
                <w:numId w:val="11"/>
              </w:numPr>
              <w:autoSpaceDE w:val="0"/>
              <w:autoSpaceDN w:val="0"/>
              <w:adjustRightInd w:val="0"/>
              <w:spacing w:before="60"/>
              <w:jc w:val="both"/>
              <w:rPr>
                <w:rFonts w:ascii="Calibri" w:hAnsi="Calibri" w:cs="Calibri"/>
              </w:rPr>
            </w:pPr>
            <w:r w:rsidRPr="00050F41">
              <w:rPr>
                <w:rFonts w:ascii="Calibri" w:hAnsi="Calibri" w:cs="Calibri"/>
              </w:rPr>
              <w:t>Request and review the record of consumer complaints and inquiries received by the institution for a specific recent period of time.</w:t>
            </w:r>
          </w:p>
        </w:tc>
        <w:tc>
          <w:tcPr>
            <w:tcW w:w="6480" w:type="dxa"/>
            <w:shd w:val="clear" w:color="auto" w:fill="auto"/>
          </w:tcPr>
          <w:p w:rsidR="00D95B2A" w:rsidRPr="00050F41" w:rsidRDefault="00D95B2A" w:rsidP="00FD5C6B">
            <w:pPr>
              <w:rPr>
                <w:rFonts w:ascii="Calibri" w:hAnsi="Calibri" w:cs="Calibri"/>
              </w:rPr>
            </w:pPr>
            <w:r w:rsidRPr="0047571A">
              <w:rPr>
                <w:rFonts w:ascii="Calibri" w:hAnsi="Calibri" w:cs="Calibri"/>
              </w:rPr>
              <w:fldChar w:fldCharType="begin">
                <w:ffData>
                  <w:name w:val="Text1"/>
                  <w:enabled/>
                  <w:calcOnExit w:val="0"/>
                  <w:textInput>
                    <w:default w:val="[Click&amp;type]"/>
                  </w:textInput>
                </w:ffData>
              </w:fldChar>
            </w:r>
            <w:r w:rsidRPr="0047571A">
              <w:rPr>
                <w:rFonts w:ascii="Calibri" w:hAnsi="Calibri" w:cs="Calibri"/>
              </w:rPr>
              <w:instrText xml:space="preserve"> FORMTEXT </w:instrText>
            </w:r>
            <w:r w:rsidRPr="0047571A">
              <w:rPr>
                <w:rFonts w:ascii="Calibri" w:hAnsi="Calibri" w:cs="Calibri"/>
              </w:rPr>
            </w:r>
            <w:r w:rsidRPr="0047571A">
              <w:rPr>
                <w:rFonts w:ascii="Calibri" w:hAnsi="Calibri" w:cs="Calibri"/>
              </w:rPr>
              <w:fldChar w:fldCharType="separate"/>
            </w:r>
            <w:r w:rsidRPr="0047571A">
              <w:rPr>
                <w:rFonts w:ascii="Calibri" w:hAnsi="Calibri" w:cs="Calibri"/>
                <w:noProof/>
              </w:rPr>
              <w:t>[Click&amp;type]</w:t>
            </w:r>
            <w:r w:rsidRPr="0047571A">
              <w:rPr>
                <w:rFonts w:ascii="Calibri" w:hAnsi="Calibri" w:cs="Calibri"/>
              </w:rPr>
              <w:fldChar w:fldCharType="end"/>
            </w:r>
          </w:p>
        </w:tc>
      </w:tr>
      <w:tr w:rsidR="00D95B2A" w:rsidRPr="00050F41" w:rsidTr="00793160">
        <w:tc>
          <w:tcPr>
            <w:tcW w:w="6480" w:type="dxa"/>
            <w:shd w:val="clear" w:color="auto" w:fill="auto"/>
          </w:tcPr>
          <w:p w:rsidR="00D95B2A" w:rsidRPr="00050F41" w:rsidRDefault="00D95B2A" w:rsidP="00346A3F">
            <w:pPr>
              <w:numPr>
                <w:ilvl w:val="0"/>
                <w:numId w:val="11"/>
              </w:numPr>
              <w:autoSpaceDE w:val="0"/>
              <w:autoSpaceDN w:val="0"/>
              <w:adjustRightInd w:val="0"/>
              <w:spacing w:before="60"/>
              <w:jc w:val="both"/>
              <w:rPr>
                <w:rFonts w:ascii="Calibri" w:hAnsi="Calibri" w:cs="Calibri"/>
              </w:rPr>
            </w:pPr>
            <w:r w:rsidRPr="00050F41">
              <w:rPr>
                <w:rFonts w:ascii="Calibri" w:hAnsi="Calibri" w:cs="Calibri"/>
              </w:rPr>
              <w:t xml:space="preserve">Identify complaints alleging deception, unfair treatment, unlawful discrimination, or other significant consumer injury and review some or all of those complaints for handling, </w:t>
            </w:r>
            <w:r w:rsidRPr="00050F41">
              <w:rPr>
                <w:rFonts w:ascii="Calibri" w:hAnsi="Calibri" w:cs="Calibri"/>
              </w:rPr>
              <w:lastRenderedPageBreak/>
              <w:t>timeliness, disposition, and any prospective and retrospective corrective actions.</w:t>
            </w:r>
          </w:p>
        </w:tc>
        <w:tc>
          <w:tcPr>
            <w:tcW w:w="6480" w:type="dxa"/>
            <w:shd w:val="clear" w:color="auto" w:fill="auto"/>
          </w:tcPr>
          <w:p w:rsidR="00D95B2A" w:rsidRPr="00050F41" w:rsidRDefault="00D95B2A" w:rsidP="00FD5C6B">
            <w:pPr>
              <w:rPr>
                <w:rFonts w:ascii="Calibri" w:hAnsi="Calibri" w:cs="Calibri"/>
              </w:rPr>
            </w:pPr>
            <w:r w:rsidRPr="0047571A">
              <w:rPr>
                <w:rFonts w:ascii="Calibri" w:hAnsi="Calibri" w:cs="Calibri"/>
              </w:rPr>
              <w:lastRenderedPageBreak/>
              <w:fldChar w:fldCharType="begin">
                <w:ffData>
                  <w:name w:val="Text1"/>
                  <w:enabled/>
                  <w:calcOnExit w:val="0"/>
                  <w:textInput>
                    <w:default w:val="[Click&amp;type]"/>
                  </w:textInput>
                </w:ffData>
              </w:fldChar>
            </w:r>
            <w:r w:rsidRPr="0047571A">
              <w:rPr>
                <w:rFonts w:ascii="Calibri" w:hAnsi="Calibri" w:cs="Calibri"/>
              </w:rPr>
              <w:instrText xml:space="preserve"> FORMTEXT </w:instrText>
            </w:r>
            <w:r w:rsidRPr="0047571A">
              <w:rPr>
                <w:rFonts w:ascii="Calibri" w:hAnsi="Calibri" w:cs="Calibri"/>
              </w:rPr>
            </w:r>
            <w:r w:rsidRPr="0047571A">
              <w:rPr>
                <w:rFonts w:ascii="Calibri" w:hAnsi="Calibri" w:cs="Calibri"/>
              </w:rPr>
              <w:fldChar w:fldCharType="separate"/>
            </w:r>
            <w:r w:rsidRPr="0047571A">
              <w:rPr>
                <w:rFonts w:ascii="Calibri" w:hAnsi="Calibri" w:cs="Calibri"/>
                <w:noProof/>
              </w:rPr>
              <w:t>[Click&amp;type]</w:t>
            </w:r>
            <w:r w:rsidRPr="0047571A">
              <w:rPr>
                <w:rFonts w:ascii="Calibri" w:hAnsi="Calibri" w:cs="Calibri"/>
              </w:rPr>
              <w:fldChar w:fldCharType="end"/>
            </w:r>
          </w:p>
        </w:tc>
      </w:tr>
      <w:tr w:rsidR="00D95B2A" w:rsidRPr="00050F41" w:rsidTr="00793160">
        <w:tc>
          <w:tcPr>
            <w:tcW w:w="6480" w:type="dxa"/>
            <w:shd w:val="clear" w:color="auto" w:fill="auto"/>
          </w:tcPr>
          <w:p w:rsidR="00D95B2A" w:rsidRPr="00050F41" w:rsidRDefault="00D95B2A" w:rsidP="00346A3F">
            <w:pPr>
              <w:numPr>
                <w:ilvl w:val="0"/>
                <w:numId w:val="11"/>
              </w:numPr>
              <w:autoSpaceDE w:val="0"/>
              <w:autoSpaceDN w:val="0"/>
              <w:adjustRightInd w:val="0"/>
              <w:spacing w:before="60"/>
              <w:jc w:val="both"/>
              <w:rPr>
                <w:rFonts w:ascii="Calibri" w:hAnsi="Calibri" w:cs="Calibri"/>
              </w:rPr>
            </w:pPr>
            <w:r w:rsidRPr="00050F41">
              <w:rPr>
                <w:rFonts w:ascii="Calibri" w:hAnsi="Calibri" w:cs="Calibri"/>
              </w:rPr>
              <w:lastRenderedPageBreak/>
              <w:t>Determine whether corrective action is offered or taken for any complaint resulting in a conclusion of violation of law or regulation.</w:t>
            </w:r>
          </w:p>
        </w:tc>
        <w:tc>
          <w:tcPr>
            <w:tcW w:w="6480" w:type="dxa"/>
            <w:shd w:val="clear" w:color="auto" w:fill="auto"/>
          </w:tcPr>
          <w:p w:rsidR="00D95B2A" w:rsidRPr="00050F41" w:rsidRDefault="00D95B2A" w:rsidP="00FD5C6B">
            <w:pPr>
              <w:rPr>
                <w:rFonts w:ascii="Calibri" w:hAnsi="Calibri" w:cs="Calibri"/>
              </w:rPr>
            </w:pPr>
            <w:r w:rsidRPr="0047571A">
              <w:rPr>
                <w:rFonts w:ascii="Calibri" w:hAnsi="Calibri" w:cs="Calibri"/>
              </w:rPr>
              <w:fldChar w:fldCharType="begin">
                <w:ffData>
                  <w:name w:val="Text1"/>
                  <w:enabled/>
                  <w:calcOnExit w:val="0"/>
                  <w:textInput>
                    <w:default w:val="[Click&amp;type]"/>
                  </w:textInput>
                </w:ffData>
              </w:fldChar>
            </w:r>
            <w:r w:rsidRPr="0047571A">
              <w:rPr>
                <w:rFonts w:ascii="Calibri" w:hAnsi="Calibri" w:cs="Calibri"/>
              </w:rPr>
              <w:instrText xml:space="preserve"> FORMTEXT </w:instrText>
            </w:r>
            <w:r w:rsidRPr="0047571A">
              <w:rPr>
                <w:rFonts w:ascii="Calibri" w:hAnsi="Calibri" w:cs="Calibri"/>
              </w:rPr>
            </w:r>
            <w:r w:rsidRPr="0047571A">
              <w:rPr>
                <w:rFonts w:ascii="Calibri" w:hAnsi="Calibri" w:cs="Calibri"/>
              </w:rPr>
              <w:fldChar w:fldCharType="separate"/>
            </w:r>
            <w:r w:rsidRPr="0047571A">
              <w:rPr>
                <w:rFonts w:ascii="Calibri" w:hAnsi="Calibri" w:cs="Calibri"/>
                <w:noProof/>
              </w:rPr>
              <w:t>[Click&amp;type]</w:t>
            </w:r>
            <w:r w:rsidRPr="0047571A">
              <w:rPr>
                <w:rFonts w:ascii="Calibri" w:hAnsi="Calibri" w:cs="Calibri"/>
              </w:rPr>
              <w:fldChar w:fldCharType="end"/>
            </w:r>
          </w:p>
        </w:tc>
      </w:tr>
      <w:tr w:rsidR="00D95B2A" w:rsidRPr="00050F41" w:rsidTr="00793160">
        <w:tc>
          <w:tcPr>
            <w:tcW w:w="6480" w:type="dxa"/>
            <w:shd w:val="clear" w:color="auto" w:fill="auto"/>
          </w:tcPr>
          <w:p w:rsidR="00D95B2A" w:rsidRPr="00050F41" w:rsidRDefault="00D95B2A" w:rsidP="00346A3F">
            <w:pPr>
              <w:numPr>
                <w:ilvl w:val="0"/>
                <w:numId w:val="11"/>
              </w:numPr>
              <w:autoSpaceDE w:val="0"/>
              <w:autoSpaceDN w:val="0"/>
              <w:adjustRightInd w:val="0"/>
              <w:spacing w:before="60"/>
              <w:jc w:val="both"/>
              <w:rPr>
                <w:rFonts w:ascii="Calibri" w:hAnsi="Calibri" w:cs="Calibri"/>
              </w:rPr>
            </w:pPr>
            <w:r w:rsidRPr="00050F41">
              <w:rPr>
                <w:rFonts w:ascii="Calibri" w:hAnsi="Calibri" w:cs="Calibri"/>
              </w:rPr>
              <w:t>Determine whether complaints involving service providers or other third parties referring business to the supervised entity receive prompt and appropriate handling and follow-up by the entity.</w:t>
            </w:r>
          </w:p>
        </w:tc>
        <w:tc>
          <w:tcPr>
            <w:tcW w:w="6480" w:type="dxa"/>
            <w:shd w:val="clear" w:color="auto" w:fill="auto"/>
          </w:tcPr>
          <w:p w:rsidR="00D95B2A" w:rsidRPr="00050F41" w:rsidRDefault="00D95B2A" w:rsidP="00FD5C6B">
            <w:pPr>
              <w:rPr>
                <w:rFonts w:ascii="Calibri" w:hAnsi="Calibri" w:cs="Calibri"/>
              </w:rPr>
            </w:pPr>
            <w:r w:rsidRPr="0047571A">
              <w:rPr>
                <w:rFonts w:ascii="Calibri" w:hAnsi="Calibri" w:cs="Calibri"/>
              </w:rPr>
              <w:fldChar w:fldCharType="begin">
                <w:ffData>
                  <w:name w:val="Text1"/>
                  <w:enabled/>
                  <w:calcOnExit w:val="0"/>
                  <w:textInput>
                    <w:default w:val="[Click&amp;type]"/>
                  </w:textInput>
                </w:ffData>
              </w:fldChar>
            </w:r>
            <w:r w:rsidRPr="0047571A">
              <w:rPr>
                <w:rFonts w:ascii="Calibri" w:hAnsi="Calibri" w:cs="Calibri"/>
              </w:rPr>
              <w:instrText xml:space="preserve"> FORMTEXT </w:instrText>
            </w:r>
            <w:r w:rsidRPr="0047571A">
              <w:rPr>
                <w:rFonts w:ascii="Calibri" w:hAnsi="Calibri" w:cs="Calibri"/>
              </w:rPr>
            </w:r>
            <w:r w:rsidRPr="0047571A">
              <w:rPr>
                <w:rFonts w:ascii="Calibri" w:hAnsi="Calibri" w:cs="Calibri"/>
              </w:rPr>
              <w:fldChar w:fldCharType="separate"/>
            </w:r>
            <w:r w:rsidRPr="0047571A">
              <w:rPr>
                <w:rFonts w:ascii="Calibri" w:hAnsi="Calibri" w:cs="Calibri"/>
                <w:noProof/>
              </w:rPr>
              <w:t>[Click&amp;type]</w:t>
            </w:r>
            <w:r w:rsidRPr="0047571A">
              <w:rPr>
                <w:rFonts w:ascii="Calibri" w:hAnsi="Calibri" w:cs="Calibri"/>
              </w:rPr>
              <w:fldChar w:fldCharType="end"/>
            </w:r>
          </w:p>
        </w:tc>
      </w:tr>
      <w:tr w:rsidR="00D95B2A" w:rsidRPr="00050F41" w:rsidTr="00793160">
        <w:tc>
          <w:tcPr>
            <w:tcW w:w="6480" w:type="dxa"/>
            <w:shd w:val="clear" w:color="auto" w:fill="auto"/>
          </w:tcPr>
          <w:p w:rsidR="00D95B2A" w:rsidRPr="00050F41" w:rsidRDefault="00D95B2A" w:rsidP="00346A3F">
            <w:pPr>
              <w:numPr>
                <w:ilvl w:val="0"/>
                <w:numId w:val="11"/>
              </w:numPr>
              <w:autoSpaceDE w:val="0"/>
              <w:autoSpaceDN w:val="0"/>
              <w:adjustRightInd w:val="0"/>
              <w:spacing w:before="60"/>
              <w:jc w:val="both"/>
              <w:rPr>
                <w:rFonts w:ascii="Calibri" w:hAnsi="Calibri" w:cs="Calibri"/>
              </w:rPr>
            </w:pPr>
            <w:r w:rsidRPr="00050F41">
              <w:rPr>
                <w:rFonts w:ascii="Calibri" w:hAnsi="Calibri" w:cs="Calibri"/>
              </w:rPr>
              <w:t>If a supervised entity maintains multiple consumer response centers or units, determine whether it employs a common set of best practices as applicable.</w:t>
            </w:r>
          </w:p>
        </w:tc>
        <w:tc>
          <w:tcPr>
            <w:tcW w:w="6480" w:type="dxa"/>
            <w:shd w:val="clear" w:color="auto" w:fill="auto"/>
          </w:tcPr>
          <w:p w:rsidR="00D95B2A" w:rsidRPr="0047571A" w:rsidRDefault="00D95B2A" w:rsidP="00FD5C6B">
            <w:pPr>
              <w:rPr>
                <w:rFonts w:ascii="Calibri" w:hAnsi="Calibri" w:cs="Calibri"/>
              </w:rPr>
            </w:pPr>
            <w:r w:rsidRPr="0047571A">
              <w:rPr>
                <w:rFonts w:ascii="Calibri" w:hAnsi="Calibri" w:cs="Calibri"/>
              </w:rPr>
              <w:fldChar w:fldCharType="begin">
                <w:ffData>
                  <w:name w:val="Text1"/>
                  <w:enabled/>
                  <w:calcOnExit w:val="0"/>
                  <w:textInput>
                    <w:default w:val="[Click&amp;type]"/>
                  </w:textInput>
                </w:ffData>
              </w:fldChar>
            </w:r>
            <w:r w:rsidRPr="0047571A">
              <w:rPr>
                <w:rFonts w:ascii="Calibri" w:hAnsi="Calibri" w:cs="Calibri"/>
              </w:rPr>
              <w:instrText xml:space="preserve"> FORMTEXT </w:instrText>
            </w:r>
            <w:r w:rsidRPr="0047571A">
              <w:rPr>
                <w:rFonts w:ascii="Calibri" w:hAnsi="Calibri" w:cs="Calibri"/>
              </w:rPr>
            </w:r>
            <w:r w:rsidRPr="0047571A">
              <w:rPr>
                <w:rFonts w:ascii="Calibri" w:hAnsi="Calibri" w:cs="Calibri"/>
              </w:rPr>
              <w:fldChar w:fldCharType="separate"/>
            </w:r>
            <w:r w:rsidRPr="0047571A">
              <w:rPr>
                <w:rFonts w:ascii="Calibri" w:hAnsi="Calibri" w:cs="Calibri"/>
                <w:noProof/>
              </w:rPr>
              <w:t>[Click&amp;type]</w:t>
            </w:r>
            <w:r w:rsidRPr="0047571A">
              <w:rPr>
                <w:rFonts w:ascii="Calibri" w:hAnsi="Calibri" w:cs="Calibri"/>
              </w:rPr>
              <w:fldChar w:fldCharType="end"/>
            </w:r>
          </w:p>
        </w:tc>
      </w:tr>
      <w:tr w:rsidR="00D95B2A" w:rsidRPr="00050F41" w:rsidTr="00793160">
        <w:tc>
          <w:tcPr>
            <w:tcW w:w="6480" w:type="dxa"/>
            <w:shd w:val="clear" w:color="auto" w:fill="auto"/>
          </w:tcPr>
          <w:p w:rsidR="00D95B2A" w:rsidRPr="00050F41" w:rsidRDefault="00D95B2A" w:rsidP="00346A3F">
            <w:pPr>
              <w:numPr>
                <w:ilvl w:val="0"/>
                <w:numId w:val="11"/>
              </w:numPr>
              <w:autoSpaceDE w:val="0"/>
              <w:autoSpaceDN w:val="0"/>
              <w:adjustRightInd w:val="0"/>
              <w:spacing w:before="60"/>
              <w:jc w:val="both"/>
              <w:rPr>
                <w:rFonts w:ascii="Calibri" w:hAnsi="Calibri" w:cs="Calibri"/>
              </w:rPr>
            </w:pPr>
            <w:r w:rsidRPr="00050F41">
              <w:rPr>
                <w:rFonts w:ascii="Calibri" w:hAnsi="Calibri" w:cs="Calibri"/>
              </w:rPr>
              <w:t>Determine whether evaluations of consumer contacts are shared within the supervised entity and included in compliance management reporting to the Board and senior management and whether such information is used in modifying policies, procedures, training, and monitoring.</w:t>
            </w:r>
          </w:p>
        </w:tc>
        <w:tc>
          <w:tcPr>
            <w:tcW w:w="6480" w:type="dxa"/>
            <w:shd w:val="clear" w:color="auto" w:fill="auto"/>
          </w:tcPr>
          <w:p w:rsidR="00D95B2A" w:rsidRPr="0047571A" w:rsidRDefault="00D95B2A" w:rsidP="00FD5C6B">
            <w:pPr>
              <w:rPr>
                <w:rFonts w:ascii="Calibri" w:hAnsi="Calibri" w:cs="Calibri"/>
              </w:rPr>
            </w:pPr>
            <w:r w:rsidRPr="0047571A">
              <w:rPr>
                <w:rFonts w:ascii="Calibri" w:hAnsi="Calibri" w:cs="Calibri"/>
              </w:rPr>
              <w:fldChar w:fldCharType="begin">
                <w:ffData>
                  <w:name w:val="Text1"/>
                  <w:enabled/>
                  <w:calcOnExit w:val="0"/>
                  <w:textInput>
                    <w:default w:val="[Click&amp;type]"/>
                  </w:textInput>
                </w:ffData>
              </w:fldChar>
            </w:r>
            <w:r w:rsidRPr="0047571A">
              <w:rPr>
                <w:rFonts w:ascii="Calibri" w:hAnsi="Calibri" w:cs="Calibri"/>
              </w:rPr>
              <w:instrText xml:space="preserve"> FORMTEXT </w:instrText>
            </w:r>
            <w:r w:rsidRPr="0047571A">
              <w:rPr>
                <w:rFonts w:ascii="Calibri" w:hAnsi="Calibri" w:cs="Calibri"/>
              </w:rPr>
            </w:r>
            <w:r w:rsidRPr="0047571A">
              <w:rPr>
                <w:rFonts w:ascii="Calibri" w:hAnsi="Calibri" w:cs="Calibri"/>
              </w:rPr>
              <w:fldChar w:fldCharType="separate"/>
            </w:r>
            <w:r w:rsidRPr="0047571A">
              <w:rPr>
                <w:rFonts w:ascii="Calibri" w:hAnsi="Calibri" w:cs="Calibri"/>
                <w:noProof/>
              </w:rPr>
              <w:t>[Click&amp;type]</w:t>
            </w:r>
            <w:r w:rsidRPr="0047571A">
              <w:rPr>
                <w:rFonts w:ascii="Calibri" w:hAnsi="Calibri" w:cs="Calibri"/>
              </w:rPr>
              <w:fldChar w:fldCharType="end"/>
            </w:r>
          </w:p>
        </w:tc>
      </w:tr>
      <w:tr w:rsidR="001F0083" w:rsidRPr="00050F41" w:rsidTr="00793160">
        <w:tc>
          <w:tcPr>
            <w:tcW w:w="12960" w:type="dxa"/>
            <w:gridSpan w:val="2"/>
            <w:shd w:val="clear" w:color="auto" w:fill="D9D9D9"/>
          </w:tcPr>
          <w:p w:rsidR="001F0083" w:rsidRPr="00050F41" w:rsidRDefault="00FB0049" w:rsidP="00D95B2A">
            <w:pPr>
              <w:autoSpaceDE w:val="0"/>
              <w:autoSpaceDN w:val="0"/>
              <w:adjustRightInd w:val="0"/>
              <w:rPr>
                <w:rFonts w:ascii="Calibri" w:hAnsi="Calibri" w:cs="Calibri"/>
                <w:b/>
                <w:bCs/>
              </w:rPr>
            </w:pPr>
            <w:r w:rsidRPr="00050F41">
              <w:rPr>
                <w:rFonts w:ascii="Calibri" w:hAnsi="Calibri" w:cs="Calibri"/>
                <w:b/>
                <w:bCs/>
              </w:rPr>
              <w:t xml:space="preserve">Conclusions </w:t>
            </w:r>
            <w:r w:rsidR="00ED6B54">
              <w:rPr>
                <w:rFonts w:ascii="Calibri" w:hAnsi="Calibri" w:cs="Calibri"/>
                <w:b/>
                <w:bCs/>
              </w:rPr>
              <w:t>–</w:t>
            </w:r>
            <w:r w:rsidRPr="00050F41">
              <w:rPr>
                <w:rFonts w:ascii="Calibri" w:hAnsi="Calibri" w:cs="Calibri"/>
                <w:b/>
                <w:bCs/>
              </w:rPr>
              <w:t xml:space="preserve"> </w:t>
            </w:r>
            <w:r w:rsidR="00D95B2A">
              <w:rPr>
                <w:rFonts w:ascii="Calibri" w:hAnsi="Calibri" w:cs="Calibri"/>
                <w:b/>
                <w:bCs/>
              </w:rPr>
              <w:t>Consumer Complaint Response</w:t>
            </w:r>
          </w:p>
        </w:tc>
      </w:tr>
      <w:tr w:rsidR="00D02CBB" w:rsidRPr="00050F41" w:rsidTr="00793160">
        <w:tc>
          <w:tcPr>
            <w:tcW w:w="12960" w:type="dxa"/>
            <w:gridSpan w:val="2"/>
            <w:shd w:val="clear" w:color="auto" w:fill="auto"/>
          </w:tcPr>
          <w:p w:rsidR="00D95B2A" w:rsidRPr="00050F41" w:rsidRDefault="00D95B2A" w:rsidP="00D95B2A">
            <w:pPr>
              <w:jc w:val="both"/>
              <w:rPr>
                <w:rFonts w:ascii="Calibri" w:hAnsi="Calibri" w:cs="Calibri"/>
              </w:rPr>
            </w:pPr>
            <w:r w:rsidRPr="00050F41">
              <w:rPr>
                <w:rFonts w:ascii="Calibri" w:hAnsi="Calibri" w:cs="Calibri"/>
              </w:rPr>
              <w:t>Draw preliminary conclusions regarding the strength, adequacy, or weakness of the entity’s response to consumer issues and concerns. Consider whether:</w:t>
            </w:r>
          </w:p>
          <w:p w:rsidR="00D95B2A" w:rsidRPr="00050F41" w:rsidRDefault="00D95B2A" w:rsidP="00D95B2A">
            <w:pPr>
              <w:numPr>
                <w:ilvl w:val="0"/>
                <w:numId w:val="27"/>
              </w:numPr>
              <w:jc w:val="both"/>
              <w:rPr>
                <w:rFonts w:ascii="Calibri" w:hAnsi="Calibri" w:cs="Calibri"/>
                <w:sz w:val="20"/>
              </w:rPr>
            </w:pPr>
            <w:r w:rsidRPr="00050F41">
              <w:rPr>
                <w:rFonts w:ascii="Calibri" w:hAnsi="Calibri" w:cs="Calibri"/>
              </w:rPr>
              <w:t>Consumer complaints and inquiries are appropriately recorded and categorized;</w:t>
            </w:r>
          </w:p>
          <w:p w:rsidR="00D95B2A" w:rsidRPr="00050F41" w:rsidRDefault="00D95B2A" w:rsidP="00D95B2A">
            <w:pPr>
              <w:numPr>
                <w:ilvl w:val="0"/>
                <w:numId w:val="27"/>
              </w:numPr>
              <w:jc w:val="both"/>
              <w:rPr>
                <w:rFonts w:ascii="Calibri" w:hAnsi="Calibri" w:cs="Calibri"/>
                <w:sz w:val="20"/>
              </w:rPr>
            </w:pPr>
            <w:r w:rsidRPr="00050F41">
              <w:rPr>
                <w:rFonts w:ascii="Calibri" w:hAnsi="Calibri" w:cs="Calibri"/>
              </w:rPr>
              <w:t>Complaints and inquiries regarding the entity or its service providers are addressed and resolved promptly;</w:t>
            </w:r>
          </w:p>
          <w:p w:rsidR="00D95B2A" w:rsidRPr="00050F41" w:rsidRDefault="00D95B2A" w:rsidP="00D95B2A">
            <w:pPr>
              <w:numPr>
                <w:ilvl w:val="0"/>
                <w:numId w:val="27"/>
              </w:numPr>
              <w:jc w:val="both"/>
              <w:rPr>
                <w:rFonts w:ascii="Calibri" w:hAnsi="Calibri" w:cs="Calibri"/>
                <w:sz w:val="20"/>
              </w:rPr>
            </w:pPr>
            <w:r w:rsidRPr="00050F41">
              <w:rPr>
                <w:rFonts w:ascii="Calibri" w:hAnsi="Calibri" w:cs="Calibri"/>
              </w:rPr>
              <w:t>Complaints that raise legal issues involving potential consumer harm from unfair treatment or discrimination, or other regulatory compliance issues, are appropriately escalated;</w:t>
            </w:r>
          </w:p>
          <w:p w:rsidR="00D95B2A" w:rsidRPr="00050F41" w:rsidRDefault="00D95B2A" w:rsidP="00D95B2A">
            <w:pPr>
              <w:numPr>
                <w:ilvl w:val="0"/>
                <w:numId w:val="27"/>
              </w:numPr>
              <w:jc w:val="both"/>
              <w:rPr>
                <w:rFonts w:ascii="Calibri" w:hAnsi="Calibri" w:cs="Calibri"/>
                <w:sz w:val="20"/>
              </w:rPr>
            </w:pPr>
            <w:r w:rsidRPr="00050F41">
              <w:rPr>
                <w:rFonts w:ascii="Calibri" w:hAnsi="Calibri" w:cs="Calibri"/>
              </w:rPr>
              <w:t>Complaint data and individual cases drive adjustments to business practices as appropriate;</w:t>
            </w:r>
          </w:p>
          <w:p w:rsidR="00D95B2A" w:rsidRPr="00050F41" w:rsidRDefault="00D95B2A" w:rsidP="00D95B2A">
            <w:pPr>
              <w:numPr>
                <w:ilvl w:val="0"/>
                <w:numId w:val="27"/>
              </w:numPr>
              <w:jc w:val="both"/>
              <w:rPr>
                <w:rFonts w:ascii="Calibri" w:hAnsi="Calibri" w:cs="Calibri"/>
                <w:sz w:val="20"/>
              </w:rPr>
            </w:pPr>
            <w:r w:rsidRPr="00050F41">
              <w:rPr>
                <w:rFonts w:ascii="Calibri" w:hAnsi="Calibri" w:cs="Calibri"/>
              </w:rPr>
              <w:t>Consumer complaints result in retrospective corrective action when appropriate; and</w:t>
            </w:r>
          </w:p>
          <w:p w:rsidR="00D95B2A" w:rsidRPr="00050F41" w:rsidRDefault="00D95B2A" w:rsidP="00D95B2A">
            <w:pPr>
              <w:numPr>
                <w:ilvl w:val="0"/>
                <w:numId w:val="27"/>
              </w:numPr>
              <w:jc w:val="both"/>
              <w:rPr>
                <w:rFonts w:ascii="Calibri" w:hAnsi="Calibri" w:cs="Calibri"/>
                <w:sz w:val="20"/>
              </w:rPr>
            </w:pPr>
            <w:r w:rsidRPr="00050F41">
              <w:rPr>
                <w:rFonts w:ascii="Calibri" w:hAnsi="Calibri" w:cs="Calibri"/>
              </w:rPr>
              <w:lastRenderedPageBreak/>
              <w:t>Weaknesses in the compliance management system exist, based on the nature or number of substantive complaints from consumers.</w:t>
            </w:r>
          </w:p>
          <w:p w:rsidR="00D95B2A" w:rsidRPr="00050F41" w:rsidRDefault="00D95B2A" w:rsidP="00D95B2A">
            <w:pPr>
              <w:jc w:val="both"/>
              <w:rPr>
                <w:rFonts w:ascii="Calibri" w:hAnsi="Calibri" w:cs="Calibri"/>
              </w:rPr>
            </w:pPr>
          </w:p>
          <w:p w:rsidR="00D02CBB" w:rsidRPr="00050F41" w:rsidRDefault="00D95B2A" w:rsidP="00D95B2A">
            <w:pPr>
              <w:autoSpaceDE w:val="0"/>
              <w:autoSpaceDN w:val="0"/>
              <w:adjustRightInd w:val="0"/>
              <w:jc w:val="both"/>
              <w:rPr>
                <w:rFonts w:ascii="Calibri" w:hAnsi="Calibri" w:cs="Calibri"/>
                <w:bCs/>
                <w:szCs w:val="24"/>
              </w:rPr>
            </w:pPr>
            <w:r w:rsidRPr="00050F41">
              <w:rPr>
                <w:rFonts w:ascii="Calibri" w:hAnsi="Calibri" w:cs="Calibri"/>
              </w:rPr>
              <w:t>Confirm the preliminary conclusions by identifying business conduct areas, specific regulations, or organizational units for more detailed review.</w:t>
            </w:r>
          </w:p>
        </w:tc>
      </w:tr>
      <w:tr w:rsidR="00D95B2A" w:rsidRPr="00050F41" w:rsidTr="00793160">
        <w:tc>
          <w:tcPr>
            <w:tcW w:w="12960" w:type="dxa"/>
            <w:gridSpan w:val="2"/>
            <w:shd w:val="clear" w:color="auto" w:fill="auto"/>
          </w:tcPr>
          <w:p w:rsidR="00D95B2A" w:rsidRPr="00050F41" w:rsidRDefault="00D95B2A" w:rsidP="00D95B2A">
            <w:pPr>
              <w:jc w:val="both"/>
              <w:rPr>
                <w:rFonts w:ascii="Calibri" w:hAnsi="Calibri" w:cs="Calibri"/>
              </w:rPr>
            </w:pPr>
            <w:r w:rsidRPr="0047571A">
              <w:rPr>
                <w:rFonts w:ascii="Calibri" w:hAnsi="Calibri" w:cs="Calibri"/>
              </w:rPr>
              <w:lastRenderedPageBreak/>
              <w:fldChar w:fldCharType="begin">
                <w:ffData>
                  <w:name w:val="Text1"/>
                  <w:enabled/>
                  <w:calcOnExit w:val="0"/>
                  <w:textInput>
                    <w:default w:val="[Click&amp;type]"/>
                  </w:textInput>
                </w:ffData>
              </w:fldChar>
            </w:r>
            <w:r w:rsidRPr="0047571A">
              <w:rPr>
                <w:rFonts w:ascii="Calibri" w:hAnsi="Calibri" w:cs="Calibri"/>
              </w:rPr>
              <w:instrText xml:space="preserve"> FORMTEXT </w:instrText>
            </w:r>
            <w:r w:rsidRPr="0047571A">
              <w:rPr>
                <w:rFonts w:ascii="Calibri" w:hAnsi="Calibri" w:cs="Calibri"/>
              </w:rPr>
            </w:r>
            <w:r w:rsidRPr="0047571A">
              <w:rPr>
                <w:rFonts w:ascii="Calibri" w:hAnsi="Calibri" w:cs="Calibri"/>
              </w:rPr>
              <w:fldChar w:fldCharType="separate"/>
            </w:r>
            <w:r w:rsidRPr="0047571A">
              <w:rPr>
                <w:rFonts w:ascii="Calibri" w:hAnsi="Calibri" w:cs="Calibri"/>
                <w:noProof/>
              </w:rPr>
              <w:t>[Click&amp;type]</w:t>
            </w:r>
            <w:r w:rsidRPr="0047571A">
              <w:rPr>
                <w:rFonts w:ascii="Calibri" w:hAnsi="Calibri" w:cs="Calibri"/>
              </w:rPr>
              <w:fldChar w:fldCharType="end"/>
            </w:r>
          </w:p>
        </w:tc>
      </w:tr>
      <w:tr w:rsidR="00D02CBB" w:rsidRPr="00050F41" w:rsidTr="00793160">
        <w:tc>
          <w:tcPr>
            <w:tcW w:w="12960" w:type="dxa"/>
            <w:gridSpan w:val="2"/>
            <w:shd w:val="clear" w:color="auto" w:fill="auto"/>
          </w:tcPr>
          <w:p w:rsidR="00523214" w:rsidRDefault="00523214" w:rsidP="00834D5E">
            <w:pPr>
              <w:rPr>
                <w:rFonts w:ascii="Calibri" w:hAnsi="Calibri" w:cs="Calibri"/>
                <w:b/>
              </w:rPr>
            </w:pPr>
          </w:p>
          <w:p w:rsidR="003D6B4B" w:rsidRPr="003D6B4B" w:rsidRDefault="003D6B4B" w:rsidP="003D6B4B">
            <w:pPr>
              <w:rPr>
                <w:rFonts w:ascii="Calibri" w:hAnsi="Calibri" w:cs="Calibri"/>
                <w:b/>
              </w:rPr>
            </w:pPr>
            <w:r w:rsidRPr="003D6B4B">
              <w:rPr>
                <w:rFonts w:ascii="Calibri" w:hAnsi="Calibri" w:cs="Calibri"/>
                <w:b/>
              </w:rPr>
              <w:t>INSERT COMMENTS FOR USE IN THE EXAMINTION REPORT.  COMMENTS SHOULD INCLUDE ANY REQUIRED CORRECTIVE ACTIONS IF DEFICIENCIES ARE FOUND.</w:t>
            </w:r>
          </w:p>
          <w:p w:rsidR="003D6B4B" w:rsidRPr="003D6B4B" w:rsidRDefault="003D6B4B" w:rsidP="003D6B4B">
            <w:pPr>
              <w:rPr>
                <w:rFonts w:ascii="Calibri" w:hAnsi="Calibri" w:cs="Calibri"/>
              </w:rPr>
            </w:pPr>
            <w:r w:rsidRPr="003D6B4B">
              <w:rPr>
                <w:rFonts w:ascii="Calibri" w:hAnsi="Calibri" w:cs="Calibri"/>
              </w:rPr>
              <w:t xml:space="preserve">When drafting these comments, use Times New Roman, 12 </w:t>
            </w:r>
            <w:proofErr w:type="spellStart"/>
            <w:r w:rsidRPr="003D6B4B">
              <w:rPr>
                <w:rFonts w:ascii="Calibri" w:hAnsi="Calibri" w:cs="Calibri"/>
              </w:rPr>
              <w:t>pt</w:t>
            </w:r>
            <w:proofErr w:type="spellEnd"/>
            <w:r w:rsidRPr="003D6B4B">
              <w:rPr>
                <w:rFonts w:ascii="Calibri" w:hAnsi="Calibri" w:cs="Calibri"/>
              </w:rPr>
              <w:t xml:space="preserve"> font and justify the right margin.  </w:t>
            </w:r>
          </w:p>
          <w:p w:rsidR="000A084F" w:rsidRDefault="000A084F" w:rsidP="00584B4C">
            <w:pPr>
              <w:rPr>
                <w:rFonts w:ascii="Calibri" w:hAnsi="Calibri" w:cs="Calibri"/>
              </w:rPr>
            </w:pPr>
          </w:p>
          <w:p w:rsidR="000A084F" w:rsidRDefault="000A084F" w:rsidP="00584B4C">
            <w:pPr>
              <w:rPr>
                <w:rFonts w:ascii="Calibri" w:hAnsi="Calibri" w:cs="Calibri"/>
              </w:rPr>
            </w:pPr>
          </w:p>
          <w:p w:rsidR="000A084F" w:rsidRDefault="000A084F" w:rsidP="00584B4C">
            <w:pPr>
              <w:rPr>
                <w:rFonts w:ascii="Calibri" w:hAnsi="Calibri" w:cs="Calibri"/>
              </w:rPr>
            </w:pPr>
          </w:p>
          <w:p w:rsidR="000A084F" w:rsidRDefault="000A084F" w:rsidP="00584B4C">
            <w:pPr>
              <w:rPr>
                <w:rFonts w:ascii="Calibri" w:hAnsi="Calibri" w:cs="Calibri"/>
              </w:rPr>
            </w:pPr>
          </w:p>
          <w:p w:rsidR="000A084F" w:rsidRDefault="000A084F"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523214" w:rsidRDefault="00523214" w:rsidP="00584B4C">
            <w:pPr>
              <w:rPr>
                <w:rFonts w:ascii="Calibri" w:hAnsi="Calibri" w:cs="Calibri"/>
              </w:rPr>
            </w:pPr>
          </w:p>
          <w:p w:rsidR="00D95B2A" w:rsidRDefault="00D95B2A" w:rsidP="00584B4C">
            <w:pPr>
              <w:rPr>
                <w:rFonts w:ascii="Calibri" w:hAnsi="Calibri" w:cs="Calibri"/>
              </w:rPr>
            </w:pPr>
          </w:p>
          <w:p w:rsidR="00D95B2A" w:rsidRDefault="00D95B2A" w:rsidP="00584B4C">
            <w:pPr>
              <w:rPr>
                <w:rFonts w:ascii="Calibri" w:hAnsi="Calibri" w:cs="Calibri"/>
              </w:rPr>
            </w:pPr>
          </w:p>
          <w:p w:rsidR="00D95B2A" w:rsidRDefault="00D95B2A" w:rsidP="00584B4C">
            <w:pPr>
              <w:rPr>
                <w:rFonts w:ascii="Calibri" w:hAnsi="Calibri" w:cs="Calibri"/>
              </w:rPr>
            </w:pPr>
          </w:p>
          <w:p w:rsidR="00D95B2A" w:rsidRDefault="00D95B2A" w:rsidP="00584B4C">
            <w:pPr>
              <w:rPr>
                <w:rFonts w:ascii="Calibri" w:hAnsi="Calibri" w:cs="Calibri"/>
              </w:rPr>
            </w:pPr>
          </w:p>
          <w:p w:rsidR="00D95B2A" w:rsidRDefault="00D95B2A" w:rsidP="00584B4C">
            <w:pPr>
              <w:rPr>
                <w:rFonts w:ascii="Calibri" w:hAnsi="Calibri" w:cs="Calibri"/>
              </w:rPr>
            </w:pPr>
          </w:p>
          <w:p w:rsidR="00D95B2A" w:rsidRDefault="00D95B2A" w:rsidP="00584B4C">
            <w:pPr>
              <w:rPr>
                <w:rFonts w:ascii="Calibri" w:hAnsi="Calibri" w:cs="Calibri"/>
              </w:rPr>
            </w:pPr>
          </w:p>
          <w:p w:rsidR="00D95B2A" w:rsidRDefault="00D95B2A" w:rsidP="00584B4C">
            <w:pPr>
              <w:rPr>
                <w:rFonts w:ascii="Calibri" w:hAnsi="Calibri" w:cs="Calibri"/>
              </w:rPr>
            </w:pPr>
          </w:p>
          <w:p w:rsidR="00D95B2A" w:rsidRDefault="00D95B2A" w:rsidP="00584B4C">
            <w:pPr>
              <w:rPr>
                <w:rFonts w:ascii="Calibri" w:hAnsi="Calibri" w:cs="Calibri"/>
              </w:rPr>
            </w:pPr>
          </w:p>
          <w:p w:rsidR="00D95B2A" w:rsidRDefault="00D95B2A" w:rsidP="00584B4C">
            <w:pPr>
              <w:rPr>
                <w:rFonts w:ascii="Calibri" w:hAnsi="Calibri" w:cs="Calibri"/>
              </w:rPr>
            </w:pPr>
          </w:p>
          <w:p w:rsidR="00D95B2A" w:rsidRDefault="00D95B2A" w:rsidP="00584B4C">
            <w:pPr>
              <w:rPr>
                <w:rFonts w:ascii="Calibri" w:hAnsi="Calibri" w:cs="Calibri"/>
              </w:rPr>
            </w:pPr>
          </w:p>
          <w:p w:rsidR="00D95B2A" w:rsidRDefault="00D95B2A" w:rsidP="00584B4C">
            <w:pPr>
              <w:rPr>
                <w:rFonts w:ascii="Calibri" w:hAnsi="Calibri" w:cs="Calibri"/>
              </w:rPr>
            </w:pPr>
          </w:p>
          <w:p w:rsidR="00D95B2A" w:rsidRDefault="00D95B2A" w:rsidP="00584B4C">
            <w:pPr>
              <w:rPr>
                <w:rFonts w:ascii="Calibri" w:hAnsi="Calibri" w:cs="Calibri"/>
              </w:rPr>
            </w:pPr>
          </w:p>
          <w:p w:rsidR="00D95B2A" w:rsidRDefault="00D95B2A" w:rsidP="00584B4C">
            <w:pPr>
              <w:rPr>
                <w:rFonts w:ascii="Calibri" w:hAnsi="Calibri" w:cs="Calibri"/>
              </w:rPr>
            </w:pPr>
          </w:p>
          <w:p w:rsidR="00D95B2A" w:rsidRDefault="00D95B2A" w:rsidP="00584B4C">
            <w:pPr>
              <w:rPr>
                <w:rFonts w:ascii="Calibri" w:hAnsi="Calibri" w:cs="Calibri"/>
              </w:rPr>
            </w:pPr>
          </w:p>
          <w:p w:rsidR="00D95B2A" w:rsidRDefault="00D95B2A" w:rsidP="00584B4C">
            <w:pPr>
              <w:rPr>
                <w:rFonts w:ascii="Calibri" w:hAnsi="Calibri" w:cs="Calibri"/>
              </w:rPr>
            </w:pPr>
          </w:p>
          <w:p w:rsidR="00D95B2A" w:rsidRDefault="00D95B2A" w:rsidP="00584B4C">
            <w:pPr>
              <w:rPr>
                <w:rFonts w:ascii="Calibri" w:hAnsi="Calibri" w:cs="Calibri"/>
              </w:rPr>
            </w:pPr>
          </w:p>
          <w:p w:rsidR="00523214" w:rsidRDefault="00523214" w:rsidP="00584B4C">
            <w:pPr>
              <w:rPr>
                <w:rFonts w:ascii="Calibri" w:hAnsi="Calibri" w:cs="Calibri"/>
              </w:rPr>
            </w:pPr>
          </w:p>
          <w:p w:rsidR="00523214" w:rsidRPr="00880078" w:rsidRDefault="00523214" w:rsidP="00523214">
            <w:pPr>
              <w:rPr>
                <w:rFonts w:ascii="Calibri" w:hAnsi="Calibri" w:cs="Calibri"/>
              </w:rPr>
            </w:pPr>
          </w:p>
        </w:tc>
      </w:tr>
    </w:tbl>
    <w:p w:rsidR="007C32F5" w:rsidRDefault="007C32F5" w:rsidP="00523214"/>
    <w:sectPr w:rsidR="007C32F5" w:rsidSect="00865CB6">
      <w:footerReference w:type="default" r:id="rId16"/>
      <w:type w:val="evenPag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A9B" w:rsidRDefault="00FB3A9B" w:rsidP="001F0083">
      <w:r>
        <w:separator/>
      </w:r>
    </w:p>
  </w:endnote>
  <w:endnote w:type="continuationSeparator" w:id="0">
    <w:p w:rsidR="00FB3A9B" w:rsidRDefault="00FB3A9B" w:rsidP="001F0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A9B" w:rsidRPr="001C3489" w:rsidRDefault="00FB3A9B" w:rsidP="00793160">
    <w:pPr>
      <w:pBdr>
        <w:top w:val="single" w:sz="12" w:space="1" w:color="000000"/>
      </w:pBdr>
      <w:tabs>
        <w:tab w:val="center" w:pos="6480"/>
        <w:tab w:val="right" w:pos="12960"/>
      </w:tabs>
      <w:spacing w:before="120"/>
      <w:rPr>
        <w:rFonts w:ascii="Calibri" w:hAnsi="Calibri" w:cs="Calibri"/>
        <w:b/>
        <w:sz w:val="20"/>
        <w:szCs w:val="20"/>
      </w:rPr>
    </w:pPr>
    <w:r w:rsidRPr="001C3489">
      <w:rPr>
        <w:rFonts w:ascii="Calibri" w:hAnsi="Calibri" w:cs="Calibri"/>
        <w:b/>
        <w:sz w:val="20"/>
        <w:szCs w:val="20"/>
      </w:rPr>
      <w:t>MA Division of Banks</w:t>
    </w:r>
    <w:r w:rsidRPr="001C3489">
      <w:rPr>
        <w:rFonts w:ascii="Calibri" w:hAnsi="Calibri" w:cs="Calibri"/>
        <w:b/>
        <w:sz w:val="20"/>
        <w:szCs w:val="20"/>
      </w:rPr>
      <w:tab/>
      <w:t>Manual V.2 (October 2012)</w:t>
    </w:r>
    <w:r w:rsidRPr="001C3489">
      <w:rPr>
        <w:rFonts w:ascii="Calibri" w:hAnsi="Calibri" w:cs="Calibri"/>
        <w:b/>
        <w:sz w:val="20"/>
        <w:szCs w:val="20"/>
      </w:rPr>
      <w:tab/>
      <w:t xml:space="preserve">Template </w:t>
    </w:r>
    <w:r w:rsidRPr="001C3489">
      <w:rPr>
        <w:rStyle w:val="PageNumber"/>
        <w:rFonts w:ascii="Calibri" w:hAnsi="Calibri" w:cs="Calibri"/>
        <w:b w:val="0"/>
        <w:sz w:val="20"/>
        <w:szCs w:val="20"/>
      </w:rPr>
      <w:fldChar w:fldCharType="begin"/>
    </w:r>
    <w:r w:rsidRPr="001C3489">
      <w:rPr>
        <w:rStyle w:val="PageNumber"/>
        <w:rFonts w:ascii="Calibri" w:hAnsi="Calibri" w:cs="Calibri"/>
        <w:b w:val="0"/>
        <w:sz w:val="20"/>
        <w:szCs w:val="20"/>
      </w:rPr>
      <w:instrText xml:space="preserve"> PAGE </w:instrText>
    </w:r>
    <w:r w:rsidRPr="001C3489">
      <w:rPr>
        <w:rStyle w:val="PageNumber"/>
        <w:rFonts w:ascii="Calibri" w:hAnsi="Calibri" w:cs="Calibri"/>
        <w:b w:val="0"/>
        <w:sz w:val="20"/>
        <w:szCs w:val="20"/>
      </w:rPr>
      <w:fldChar w:fldCharType="separate"/>
    </w:r>
    <w:r>
      <w:rPr>
        <w:rStyle w:val="PageNumber"/>
        <w:rFonts w:ascii="Calibri" w:hAnsi="Calibri" w:cs="Calibri"/>
        <w:b w:val="0"/>
        <w:noProof/>
        <w:sz w:val="20"/>
        <w:szCs w:val="20"/>
      </w:rPr>
      <w:t>3</w:t>
    </w:r>
    <w:r w:rsidRPr="001C3489">
      <w:rPr>
        <w:rStyle w:val="PageNumber"/>
        <w:rFonts w:ascii="Calibri" w:hAnsi="Calibri" w:cs="Calibri"/>
        <w:b w:val="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A9B" w:rsidRPr="001C3489" w:rsidRDefault="00FB3A9B" w:rsidP="001C3489">
    <w:pPr>
      <w:pBdr>
        <w:top w:val="single" w:sz="12" w:space="1" w:color="000000"/>
      </w:pBdr>
      <w:tabs>
        <w:tab w:val="center" w:pos="6480"/>
        <w:tab w:val="right" w:pos="12960"/>
      </w:tabs>
      <w:spacing w:before="120"/>
      <w:rPr>
        <w:rFonts w:ascii="Calibri" w:hAnsi="Calibri" w:cs="Calibri"/>
        <w:b/>
        <w:sz w:val="20"/>
        <w:szCs w:val="20"/>
      </w:rPr>
    </w:pPr>
    <w:r>
      <w:rPr>
        <w:rFonts w:ascii="Calibri" w:hAnsi="Calibri" w:cs="Calibri"/>
        <w:b/>
        <w:sz w:val="20"/>
        <w:szCs w:val="20"/>
      </w:rPr>
      <w:tab/>
      <w:t>CMS-</w:t>
    </w:r>
    <w:r w:rsidR="00410544">
      <w:rPr>
        <w:rFonts w:ascii="Calibri" w:hAnsi="Calibri" w:cs="Calibri"/>
        <w:b/>
        <w:sz w:val="20"/>
        <w:szCs w:val="20"/>
      </w:rPr>
      <w:t>Consumer Complaint Response</w:t>
    </w:r>
    <w:r w:rsidR="0057005A">
      <w:rPr>
        <w:rFonts w:ascii="Calibri" w:hAnsi="Calibri" w:cs="Calibri"/>
        <w:b/>
        <w:sz w:val="20"/>
        <w:szCs w:val="20"/>
      </w:rPr>
      <w:t xml:space="preserve"> Module V.3</w:t>
    </w:r>
    <w:r w:rsidRPr="001C3489">
      <w:rPr>
        <w:rFonts w:ascii="Calibri" w:hAnsi="Calibri" w:cs="Calibri"/>
        <w:b/>
        <w:sz w:val="20"/>
        <w:szCs w:val="20"/>
      </w:rPr>
      <w:t xml:space="preserve"> (</w:t>
    </w:r>
    <w:r w:rsidR="0057005A">
      <w:rPr>
        <w:rFonts w:ascii="Calibri" w:hAnsi="Calibri" w:cs="Calibri"/>
        <w:b/>
        <w:sz w:val="20"/>
        <w:szCs w:val="20"/>
      </w:rPr>
      <w:t>February</w:t>
    </w:r>
    <w:r>
      <w:rPr>
        <w:rFonts w:ascii="Calibri" w:hAnsi="Calibri" w:cs="Calibri"/>
        <w:b/>
        <w:sz w:val="20"/>
        <w:szCs w:val="20"/>
      </w:rPr>
      <w:t xml:space="preserve"> 2016</w:t>
    </w:r>
    <w:r w:rsidRPr="001C3489">
      <w:rPr>
        <w:rFonts w:ascii="Calibri" w:hAnsi="Calibri" w:cs="Calibri"/>
        <w:b/>
        <w:sz w:val="20"/>
        <w:szCs w:val="20"/>
      </w:rPr>
      <w:t>)</w:t>
    </w:r>
    <w:r w:rsidRPr="001C3489">
      <w:rPr>
        <w:rFonts w:ascii="Calibri" w:hAnsi="Calibri" w:cs="Calibri"/>
        <w:b/>
        <w:sz w:val="20"/>
        <w:szCs w:val="20"/>
      </w:rPr>
      <w:tab/>
    </w:r>
    <w:r>
      <w:rPr>
        <w:rFonts w:ascii="Calibri" w:hAnsi="Calibri" w:cs="Calibri"/>
        <w:b/>
        <w:sz w:val="20"/>
        <w:szCs w:val="20"/>
      </w:rPr>
      <w:t>Page</w:t>
    </w:r>
    <w:r w:rsidRPr="001C3489">
      <w:rPr>
        <w:rFonts w:ascii="Calibri" w:hAnsi="Calibri" w:cs="Calibri"/>
        <w:b/>
        <w:sz w:val="20"/>
        <w:szCs w:val="20"/>
      </w:rPr>
      <w:t xml:space="preserve"> </w:t>
    </w:r>
    <w:r w:rsidRPr="001C3489">
      <w:rPr>
        <w:rStyle w:val="PageNumber"/>
        <w:rFonts w:ascii="Calibri" w:hAnsi="Calibri" w:cs="Calibri"/>
        <w:b w:val="0"/>
        <w:sz w:val="20"/>
        <w:szCs w:val="20"/>
      </w:rPr>
      <w:fldChar w:fldCharType="begin"/>
    </w:r>
    <w:r w:rsidRPr="001C3489">
      <w:rPr>
        <w:rStyle w:val="PageNumber"/>
        <w:rFonts w:ascii="Calibri" w:hAnsi="Calibri" w:cs="Calibri"/>
        <w:b w:val="0"/>
        <w:sz w:val="20"/>
        <w:szCs w:val="20"/>
      </w:rPr>
      <w:instrText xml:space="preserve"> PAGE </w:instrText>
    </w:r>
    <w:r w:rsidRPr="001C3489">
      <w:rPr>
        <w:rStyle w:val="PageNumber"/>
        <w:rFonts w:ascii="Calibri" w:hAnsi="Calibri" w:cs="Calibri"/>
        <w:b w:val="0"/>
        <w:sz w:val="20"/>
        <w:szCs w:val="20"/>
      </w:rPr>
      <w:fldChar w:fldCharType="separate"/>
    </w:r>
    <w:r w:rsidR="0057005A">
      <w:rPr>
        <w:rStyle w:val="PageNumber"/>
        <w:rFonts w:ascii="Calibri" w:hAnsi="Calibri" w:cs="Calibri"/>
        <w:b w:val="0"/>
        <w:noProof/>
        <w:sz w:val="20"/>
        <w:szCs w:val="20"/>
      </w:rPr>
      <w:t>1</w:t>
    </w:r>
    <w:r w:rsidRPr="001C3489">
      <w:rPr>
        <w:rStyle w:val="PageNumber"/>
        <w:rFonts w:ascii="Calibri" w:hAnsi="Calibri" w:cs="Calibri"/>
        <w:b w:val="0"/>
        <w:sz w:val="20"/>
        <w:szCs w:val="20"/>
      </w:rPr>
      <w:fldChar w:fldCharType="end"/>
    </w:r>
  </w:p>
  <w:p w:rsidR="00FB3A9B" w:rsidRPr="001C3489" w:rsidRDefault="00FB3A9B">
    <w:pPr>
      <w:pStyle w:val="Footer"/>
      <w:rPr>
        <w:rFonts w:ascii="Calibri" w:hAnsi="Calibri" w:cs="Calibri"/>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A9B" w:rsidRPr="001C3489" w:rsidRDefault="00FB3A9B" w:rsidP="00793160">
    <w:pPr>
      <w:pBdr>
        <w:top w:val="single" w:sz="12" w:space="1" w:color="000000"/>
      </w:pBdr>
      <w:tabs>
        <w:tab w:val="center" w:pos="6480"/>
        <w:tab w:val="right" w:pos="12960"/>
      </w:tabs>
      <w:spacing w:before="120"/>
      <w:rPr>
        <w:rFonts w:ascii="Calibri" w:hAnsi="Calibri" w:cs="Calibri"/>
        <w:b/>
        <w:sz w:val="20"/>
        <w:szCs w:val="20"/>
      </w:rPr>
    </w:pPr>
    <w:r>
      <w:rPr>
        <w:rFonts w:ascii="Calibri" w:hAnsi="Calibri" w:cs="Calibri"/>
        <w:b/>
        <w:sz w:val="20"/>
        <w:szCs w:val="20"/>
      </w:rPr>
      <w:tab/>
    </w:r>
    <w:r w:rsidR="00410544">
      <w:rPr>
        <w:rFonts w:ascii="Calibri" w:hAnsi="Calibri" w:cs="Calibri"/>
        <w:b/>
        <w:sz w:val="20"/>
        <w:szCs w:val="20"/>
      </w:rPr>
      <w:t>CMS-Consum</w:t>
    </w:r>
    <w:r w:rsidR="0057005A">
      <w:rPr>
        <w:rFonts w:ascii="Calibri" w:hAnsi="Calibri" w:cs="Calibri"/>
        <w:b/>
        <w:sz w:val="20"/>
        <w:szCs w:val="20"/>
      </w:rPr>
      <w:t>er Complaint Response Module V.3</w:t>
    </w:r>
    <w:r w:rsidR="00410544" w:rsidRPr="001C3489">
      <w:rPr>
        <w:rFonts w:ascii="Calibri" w:hAnsi="Calibri" w:cs="Calibri"/>
        <w:b/>
        <w:sz w:val="20"/>
        <w:szCs w:val="20"/>
      </w:rPr>
      <w:t xml:space="preserve"> (</w:t>
    </w:r>
    <w:r w:rsidR="0057005A">
      <w:rPr>
        <w:rFonts w:ascii="Calibri" w:hAnsi="Calibri" w:cs="Calibri"/>
        <w:b/>
        <w:sz w:val="20"/>
        <w:szCs w:val="20"/>
      </w:rPr>
      <w:t>February</w:t>
    </w:r>
    <w:r w:rsidR="00410544">
      <w:rPr>
        <w:rFonts w:ascii="Calibri" w:hAnsi="Calibri" w:cs="Calibri"/>
        <w:b/>
        <w:sz w:val="20"/>
        <w:szCs w:val="20"/>
      </w:rPr>
      <w:t xml:space="preserve"> 2016</w:t>
    </w:r>
    <w:r w:rsidR="00410544" w:rsidRPr="001C3489">
      <w:rPr>
        <w:rFonts w:ascii="Calibri" w:hAnsi="Calibri" w:cs="Calibri"/>
        <w:b/>
        <w:sz w:val="20"/>
        <w:szCs w:val="20"/>
      </w:rPr>
      <w:t>)</w:t>
    </w:r>
    <w:r w:rsidRPr="001C3489">
      <w:rPr>
        <w:rFonts w:ascii="Calibri" w:hAnsi="Calibri" w:cs="Calibri"/>
        <w:b/>
        <w:sz w:val="20"/>
        <w:szCs w:val="20"/>
      </w:rPr>
      <w:tab/>
    </w:r>
    <w:r>
      <w:rPr>
        <w:rFonts w:ascii="Calibri" w:hAnsi="Calibri" w:cs="Calibri"/>
        <w:b/>
        <w:sz w:val="20"/>
        <w:szCs w:val="20"/>
      </w:rPr>
      <w:t>Page</w:t>
    </w:r>
    <w:r w:rsidRPr="001C3489">
      <w:rPr>
        <w:rFonts w:ascii="Calibri" w:hAnsi="Calibri" w:cs="Calibri"/>
        <w:b/>
        <w:sz w:val="20"/>
        <w:szCs w:val="20"/>
      </w:rPr>
      <w:t xml:space="preserve"> </w:t>
    </w:r>
    <w:r w:rsidRPr="001C3489">
      <w:rPr>
        <w:rStyle w:val="PageNumber"/>
        <w:rFonts w:ascii="Calibri" w:hAnsi="Calibri" w:cs="Calibri"/>
        <w:b w:val="0"/>
        <w:sz w:val="20"/>
        <w:szCs w:val="20"/>
      </w:rPr>
      <w:fldChar w:fldCharType="begin"/>
    </w:r>
    <w:r w:rsidRPr="001C3489">
      <w:rPr>
        <w:rStyle w:val="PageNumber"/>
        <w:rFonts w:ascii="Calibri" w:hAnsi="Calibri" w:cs="Calibri"/>
        <w:b w:val="0"/>
        <w:sz w:val="20"/>
        <w:szCs w:val="20"/>
      </w:rPr>
      <w:instrText xml:space="preserve"> PAGE </w:instrText>
    </w:r>
    <w:r w:rsidRPr="001C3489">
      <w:rPr>
        <w:rStyle w:val="PageNumber"/>
        <w:rFonts w:ascii="Calibri" w:hAnsi="Calibri" w:cs="Calibri"/>
        <w:b w:val="0"/>
        <w:sz w:val="20"/>
        <w:szCs w:val="20"/>
      </w:rPr>
      <w:fldChar w:fldCharType="separate"/>
    </w:r>
    <w:r w:rsidR="0057005A">
      <w:rPr>
        <w:rStyle w:val="PageNumber"/>
        <w:rFonts w:ascii="Calibri" w:hAnsi="Calibri" w:cs="Calibri"/>
        <w:b w:val="0"/>
        <w:noProof/>
        <w:sz w:val="20"/>
        <w:szCs w:val="20"/>
      </w:rPr>
      <w:t>2</w:t>
    </w:r>
    <w:r w:rsidRPr="001C3489">
      <w:rPr>
        <w:rStyle w:val="PageNumber"/>
        <w:rFonts w:ascii="Calibri" w:hAnsi="Calibri" w:cs="Calibri"/>
        <w:b w:val="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A9B" w:rsidRDefault="00FB3A9B" w:rsidP="001F0083">
      <w:r>
        <w:separator/>
      </w:r>
    </w:p>
  </w:footnote>
  <w:footnote w:type="continuationSeparator" w:id="0">
    <w:p w:rsidR="00FB3A9B" w:rsidRDefault="00FB3A9B" w:rsidP="001F0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A9B" w:rsidRPr="00733878" w:rsidRDefault="00FB3A9B" w:rsidP="001C3489">
    <w:pPr>
      <w:pStyle w:val="Header"/>
      <w:jc w:val="center"/>
      <w:rPr>
        <w:rFonts w:ascii="Gill Sans MT" w:hAnsi="Gill Sans MT"/>
        <w:b/>
        <w:sz w:val="20"/>
        <w:szCs w:val="20"/>
      </w:rPr>
    </w:pPr>
    <w:r w:rsidRPr="00733878">
      <w:rPr>
        <w:rFonts w:ascii="Gill Sans MT" w:hAnsi="Gill Sans MT"/>
        <w:sz w:val="20"/>
        <w:szCs w:val="20"/>
      </w:rPr>
      <w:t>Confidential Supervisory Information</w:t>
    </w:r>
  </w:p>
  <w:p w:rsidR="00FB3A9B" w:rsidRPr="00733878" w:rsidRDefault="00FB3A9B" w:rsidP="00031CA3">
    <w:pPr>
      <w:pStyle w:val="Footer"/>
      <w:tabs>
        <w:tab w:val="clear" w:pos="4680"/>
        <w:tab w:val="clear" w:pos="9360"/>
        <w:tab w:val="left" w:pos="7200"/>
      </w:tabs>
      <w:spacing w:after="240"/>
      <w:jc w:val="center"/>
      <w:rPr>
        <w:rFonts w:ascii="Gill Sans MT" w:hAnsi="Gill Sans MT"/>
        <w:b/>
        <w:sz w:val="36"/>
        <w:szCs w:val="36"/>
      </w:rPr>
    </w:pPr>
    <w:r w:rsidRPr="00733878">
      <w:rPr>
        <w:rFonts w:ascii="Gill Sans MT" w:hAnsi="Gill Sans MT"/>
        <w:b/>
        <w:sz w:val="36"/>
        <w:szCs w:val="36"/>
      </w:rPr>
      <w:t>Compliance Management Review</w:t>
    </w:r>
  </w:p>
  <w:p w:rsidR="00FB3A9B" w:rsidRPr="00A35CCB" w:rsidRDefault="0057005A" w:rsidP="001C3489">
    <w:pPr>
      <w:pStyle w:val="Footer"/>
      <w:pBdr>
        <w:bottom w:val="single" w:sz="18" w:space="1" w:color="000000"/>
      </w:pBdr>
      <w:tabs>
        <w:tab w:val="clear" w:pos="4680"/>
        <w:tab w:val="clear" w:pos="9360"/>
        <w:tab w:val="left" w:pos="7560"/>
        <w:tab w:val="right" w:pos="12960"/>
      </w:tabs>
      <w:spacing w:after="240"/>
      <w:rPr>
        <w:rFonts w:ascii="Gill Sans MT" w:hAnsi="Gill Sans MT"/>
        <w:b/>
        <w:sz w:val="20"/>
        <w:szCs w:val="20"/>
      </w:rPr>
    </w:pPr>
    <w:r>
      <w:fldChar w:fldCharType="begin"/>
    </w:r>
    <w:r>
      <w:instrText xml:space="preserve"> STYLEREF  DOB1  \* MERGEFORMAT </w:instrText>
    </w:r>
    <w:r>
      <w:fldChar w:fldCharType="separate"/>
    </w:r>
    <w:r w:rsidRPr="0057005A">
      <w:rPr>
        <w:rFonts w:ascii="Gill Sans MT" w:hAnsi="Gill Sans MT"/>
        <w:b/>
        <w:noProof/>
        <w:sz w:val="20"/>
        <w:szCs w:val="20"/>
      </w:rPr>
      <w:t>Entity Name:</w:t>
    </w:r>
    <w:r w:rsidRPr="0057005A">
      <w:rPr>
        <w:rFonts w:ascii="Gill Sans MT" w:hAnsi="Gill Sans MT"/>
        <w:b/>
        <w:noProof/>
        <w:sz w:val="20"/>
        <w:szCs w:val="20"/>
      </w:rPr>
      <w:tab/>
    </w:r>
    <w:r w:rsidRPr="0057005A">
      <w:rPr>
        <w:rFonts w:ascii="Gill Sans MT" w:hAnsi="Gill Sans MT" w:cs="Arial"/>
        <w:b/>
        <w:noProof/>
        <w:sz w:val="20"/>
        <w:szCs w:val="20"/>
      </w:rPr>
      <w:t>Prepared by:</w:t>
    </w:r>
    <w:r>
      <w:rPr>
        <w:rFonts w:ascii="Gill Sans MT" w:hAnsi="Gill Sans MT" w:cs="Arial"/>
        <w:b/>
        <w:noProof/>
        <w:sz w:val="20"/>
        <w:szCs w:val="20"/>
      </w:rPr>
      <w:fldChar w:fldCharType="end"/>
    </w:r>
  </w:p>
  <w:p w:rsidR="00FB3A9B" w:rsidRPr="00A35CCB" w:rsidRDefault="0057005A" w:rsidP="001C3489">
    <w:pPr>
      <w:pStyle w:val="Footer"/>
      <w:pBdr>
        <w:bottom w:val="single" w:sz="18" w:space="1" w:color="000000"/>
      </w:pBdr>
      <w:tabs>
        <w:tab w:val="clear" w:pos="4680"/>
        <w:tab w:val="clear" w:pos="9360"/>
        <w:tab w:val="left" w:pos="7560"/>
        <w:tab w:val="right" w:pos="12960"/>
      </w:tabs>
      <w:rPr>
        <w:rFonts w:ascii="Gill Sans MT" w:hAnsi="Gill Sans MT"/>
        <w:b/>
        <w:sz w:val="20"/>
        <w:szCs w:val="20"/>
      </w:rPr>
    </w:pPr>
    <w:r>
      <w:fldChar w:fldCharType="begin"/>
    </w:r>
    <w:r>
      <w:instrText xml:space="preserve"> STYLEREF  DOB2  \* MERGEFORMAT </w:instrText>
    </w:r>
    <w:r>
      <w:fldChar w:fldCharType="separate"/>
    </w:r>
    <w:r w:rsidRPr="0057005A">
      <w:rPr>
        <w:rFonts w:ascii="Gill Sans MT" w:hAnsi="Gill Sans MT"/>
        <w:b/>
        <w:noProof/>
        <w:sz w:val="20"/>
        <w:szCs w:val="20"/>
      </w:rPr>
      <w:t xml:space="preserve">NMLS/License Number: </w:t>
    </w:r>
    <w:r w:rsidRPr="0057005A">
      <w:rPr>
        <w:rFonts w:ascii="Gill Sans MT" w:hAnsi="Gill Sans MT"/>
        <w:b/>
        <w:noProof/>
        <w:sz w:val="20"/>
        <w:szCs w:val="20"/>
      </w:rPr>
      <w:tab/>
      <w:t>Date:</w:t>
    </w:r>
    <w:r>
      <w:rPr>
        <w:rFonts w:ascii="Gill Sans MT" w:hAnsi="Gill Sans MT"/>
        <w:b/>
        <w:noProof/>
        <w:sz w:val="20"/>
        <w:szCs w:val="20"/>
      </w:rPr>
      <w:fldChar w:fldCharType="end"/>
    </w:r>
  </w:p>
  <w:p w:rsidR="00FB3A9B" w:rsidRPr="00733878" w:rsidRDefault="00FB3A9B" w:rsidP="001C3489">
    <w:pPr>
      <w:pStyle w:val="Footer"/>
      <w:pBdr>
        <w:bottom w:val="single" w:sz="18" w:space="1" w:color="000000"/>
      </w:pBdr>
      <w:tabs>
        <w:tab w:val="clear" w:pos="4680"/>
        <w:tab w:val="clear" w:pos="9360"/>
        <w:tab w:val="left" w:pos="7560"/>
        <w:tab w:val="right" w:pos="12960"/>
      </w:tabs>
      <w:rPr>
        <w:rFonts w:ascii="Gill Sans MT" w:hAnsi="Gill Sans MT"/>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A9B" w:rsidRPr="00A47C6E" w:rsidRDefault="00FB3A9B" w:rsidP="00963DD2">
    <w:pPr>
      <w:pStyle w:val="Header"/>
      <w:jc w:val="center"/>
      <w:rPr>
        <w:rFonts w:ascii="Gill Sans MT" w:hAnsi="Gill Sans MT"/>
        <w:b/>
        <w:sz w:val="20"/>
        <w:szCs w:val="20"/>
      </w:rPr>
    </w:pPr>
    <w:r w:rsidRPr="00A47C6E">
      <w:rPr>
        <w:rFonts w:ascii="Gill Sans MT" w:hAnsi="Gill Sans MT"/>
        <w:sz w:val="20"/>
        <w:szCs w:val="20"/>
      </w:rPr>
      <w:t>Confidential Supervisory Information</w:t>
    </w:r>
  </w:p>
  <w:p w:rsidR="00FB3A9B" w:rsidRPr="00963DD2" w:rsidRDefault="00FB3A9B" w:rsidP="00031CA3">
    <w:pPr>
      <w:pStyle w:val="Footer"/>
      <w:tabs>
        <w:tab w:val="clear" w:pos="4680"/>
        <w:tab w:val="clear" w:pos="9360"/>
        <w:tab w:val="left" w:pos="7200"/>
      </w:tabs>
      <w:spacing w:after="240"/>
      <w:jc w:val="center"/>
      <w:rPr>
        <w:rFonts w:ascii="Gill Sans MT" w:hAnsi="Gill Sans MT"/>
        <w:b/>
        <w:sz w:val="36"/>
        <w:szCs w:val="36"/>
      </w:rPr>
    </w:pPr>
    <w:r>
      <w:rPr>
        <w:rFonts w:ascii="Gill Sans MT" w:hAnsi="Gill Sans MT"/>
        <w:b/>
        <w:sz w:val="36"/>
        <w:szCs w:val="36"/>
      </w:rPr>
      <w:t>Compliance Management Review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662C"/>
    <w:multiLevelType w:val="hybridMultilevel"/>
    <w:tmpl w:val="FF10C3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3B1FE4"/>
    <w:multiLevelType w:val="hybridMultilevel"/>
    <w:tmpl w:val="27F6602E"/>
    <w:lvl w:ilvl="0" w:tplc="1C74E5B4">
      <w:start w:val="1"/>
      <w:numFmt w:val="upperRoman"/>
      <w:lvlText w:val="%1."/>
      <w:lvlJc w:val="left"/>
      <w:pPr>
        <w:ind w:left="720" w:hanging="720"/>
      </w:pPr>
      <w:rPr>
        <w:rFonts w:ascii="Times New Roman" w:hAnsi="Times New Roman" w:cs="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72694B"/>
    <w:multiLevelType w:val="hybridMultilevel"/>
    <w:tmpl w:val="850A4C4C"/>
    <w:lvl w:ilvl="0" w:tplc="EF74C87E">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05CEE"/>
    <w:multiLevelType w:val="hybridMultilevel"/>
    <w:tmpl w:val="DBB2FD6E"/>
    <w:lvl w:ilvl="0" w:tplc="F374646C">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DC19CD"/>
    <w:multiLevelType w:val="hybridMultilevel"/>
    <w:tmpl w:val="E4EAA2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DB5D4F"/>
    <w:multiLevelType w:val="hybridMultilevel"/>
    <w:tmpl w:val="D6F02D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AF08D5"/>
    <w:multiLevelType w:val="hybridMultilevel"/>
    <w:tmpl w:val="29BA1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0B2425"/>
    <w:multiLevelType w:val="hybridMultilevel"/>
    <w:tmpl w:val="AFB41C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CB5833"/>
    <w:multiLevelType w:val="hybridMultilevel"/>
    <w:tmpl w:val="E16A400A"/>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20261C2D"/>
    <w:multiLevelType w:val="hybridMultilevel"/>
    <w:tmpl w:val="23CA566A"/>
    <w:lvl w:ilvl="0" w:tplc="07E2AB92">
      <w:start w:val="1"/>
      <w:numFmt w:val="upperRoman"/>
      <w:lvlText w:val="%1."/>
      <w:lvlJc w:val="left"/>
      <w:pPr>
        <w:ind w:left="720" w:hanging="720"/>
      </w:pPr>
      <w:rPr>
        <w:rFonts w:ascii="Verdana" w:hAnsi="Verdana"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DC57C2"/>
    <w:multiLevelType w:val="hybridMultilevel"/>
    <w:tmpl w:val="C936D1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3506937"/>
    <w:multiLevelType w:val="hybridMultilevel"/>
    <w:tmpl w:val="3878A666"/>
    <w:lvl w:ilvl="0" w:tplc="45345D36">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313938"/>
    <w:multiLevelType w:val="hybridMultilevel"/>
    <w:tmpl w:val="D188F2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5226FB"/>
    <w:multiLevelType w:val="hybridMultilevel"/>
    <w:tmpl w:val="F11A2E50"/>
    <w:lvl w:ilvl="0" w:tplc="1D6E5D3E">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020075"/>
    <w:multiLevelType w:val="hybridMultilevel"/>
    <w:tmpl w:val="F446B3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C42CBE"/>
    <w:multiLevelType w:val="hybridMultilevel"/>
    <w:tmpl w:val="C7885E0C"/>
    <w:lvl w:ilvl="0" w:tplc="E8C670E4">
      <w:start w:val="1"/>
      <w:numFmt w:val="upperRoman"/>
      <w:lvlText w:val="%1."/>
      <w:lvlJc w:val="left"/>
      <w:pPr>
        <w:ind w:left="720" w:hanging="720"/>
      </w:pPr>
      <w:rPr>
        <w:rFonts w:ascii="Verdana" w:hAnsi="Verdana"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91E0D68"/>
    <w:multiLevelType w:val="hybridMultilevel"/>
    <w:tmpl w:val="E6DABDBC"/>
    <w:lvl w:ilvl="0" w:tplc="2C2E68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011806"/>
    <w:multiLevelType w:val="hybridMultilevel"/>
    <w:tmpl w:val="B608D3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A7636E4"/>
    <w:multiLevelType w:val="hybridMultilevel"/>
    <w:tmpl w:val="2D1024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BBA39E4"/>
    <w:multiLevelType w:val="hybridMultilevel"/>
    <w:tmpl w:val="B2A283B6"/>
    <w:lvl w:ilvl="0" w:tplc="7D5CB3E8">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4169D4"/>
    <w:multiLevelType w:val="hybridMultilevel"/>
    <w:tmpl w:val="7056196C"/>
    <w:lvl w:ilvl="0" w:tplc="8CD6668E">
      <w:start w:val="1"/>
      <w:numFmt w:val="upperLetter"/>
      <w:lvlText w:val="%1."/>
      <w:lvlJc w:val="left"/>
      <w:pPr>
        <w:ind w:left="720" w:hanging="360"/>
      </w:pPr>
      <w:rPr>
        <w:rFonts w:ascii="Verdana" w:hAnsi="Verdan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3A55DC"/>
    <w:multiLevelType w:val="hybridMultilevel"/>
    <w:tmpl w:val="63BA39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D886F9A"/>
    <w:multiLevelType w:val="hybridMultilevel"/>
    <w:tmpl w:val="8FAE80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C04897"/>
    <w:multiLevelType w:val="hybridMultilevel"/>
    <w:tmpl w:val="50BC9CDE"/>
    <w:lvl w:ilvl="0" w:tplc="74A68EC8">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757BAD"/>
    <w:multiLevelType w:val="hybridMultilevel"/>
    <w:tmpl w:val="F544E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8D494F"/>
    <w:multiLevelType w:val="hybridMultilevel"/>
    <w:tmpl w:val="94528EF6"/>
    <w:lvl w:ilvl="0" w:tplc="FDC88AFE">
      <w:start w:val="1"/>
      <w:numFmt w:val="upperRoman"/>
      <w:pStyle w:val="Heading1"/>
      <w:lvlText w:val="%1."/>
      <w:lvlJc w:val="left"/>
      <w:pPr>
        <w:ind w:left="720" w:hanging="720"/>
      </w:pPr>
      <w:rPr>
        <w:rFonts w:ascii="Verdana" w:hAnsi="Verdana"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1163BE"/>
    <w:multiLevelType w:val="hybridMultilevel"/>
    <w:tmpl w:val="D9A2D83E"/>
    <w:lvl w:ilvl="0" w:tplc="74CAE752">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7DE54DC"/>
    <w:multiLevelType w:val="hybridMultilevel"/>
    <w:tmpl w:val="72245E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8610516"/>
    <w:multiLevelType w:val="hybridMultilevel"/>
    <w:tmpl w:val="967235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241623"/>
    <w:multiLevelType w:val="hybridMultilevel"/>
    <w:tmpl w:val="D4BE1F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E1741B"/>
    <w:multiLevelType w:val="hybridMultilevel"/>
    <w:tmpl w:val="E132F220"/>
    <w:lvl w:ilvl="0" w:tplc="E8C670E4">
      <w:start w:val="1"/>
      <w:numFmt w:val="upperRoman"/>
      <w:lvlText w:val="%1."/>
      <w:lvlJc w:val="left"/>
      <w:pPr>
        <w:ind w:left="720" w:hanging="720"/>
      </w:pPr>
      <w:rPr>
        <w:rFonts w:ascii="Verdana" w:hAnsi="Verdana"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D0C5A25"/>
    <w:multiLevelType w:val="hybridMultilevel"/>
    <w:tmpl w:val="8ADC8E62"/>
    <w:lvl w:ilvl="0" w:tplc="E8C670E4">
      <w:start w:val="1"/>
      <w:numFmt w:val="upperRoman"/>
      <w:lvlText w:val="%1."/>
      <w:lvlJc w:val="left"/>
      <w:pPr>
        <w:ind w:left="360" w:hanging="360"/>
      </w:pPr>
      <w:rPr>
        <w:rFonts w:ascii="Verdana" w:hAnsi="Verdana"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F5E550B"/>
    <w:multiLevelType w:val="hybridMultilevel"/>
    <w:tmpl w:val="26C6D14E"/>
    <w:lvl w:ilvl="0" w:tplc="7B1C3F8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6465FE6"/>
    <w:multiLevelType w:val="hybridMultilevel"/>
    <w:tmpl w:val="77A6B0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DFA6AB6"/>
    <w:multiLevelType w:val="hybridMultilevel"/>
    <w:tmpl w:val="10500D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E8774C2"/>
    <w:multiLevelType w:val="hybridMultilevel"/>
    <w:tmpl w:val="1CE830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F54439D"/>
    <w:multiLevelType w:val="hybridMultilevel"/>
    <w:tmpl w:val="492A5080"/>
    <w:lvl w:ilvl="0" w:tplc="BE704142">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9B02C6"/>
    <w:multiLevelType w:val="hybridMultilevel"/>
    <w:tmpl w:val="0ADCECA4"/>
    <w:lvl w:ilvl="0" w:tplc="1EA634D2">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A63E6A"/>
    <w:multiLevelType w:val="hybridMultilevel"/>
    <w:tmpl w:val="3AE23AB2"/>
    <w:lvl w:ilvl="0" w:tplc="3BFA4F76">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4D06D3"/>
    <w:multiLevelType w:val="hybridMultilevel"/>
    <w:tmpl w:val="F1DAEC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8E260E"/>
    <w:multiLevelType w:val="hybridMultilevel"/>
    <w:tmpl w:val="2D1024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35"/>
  </w:num>
  <w:num w:numId="3">
    <w:abstractNumId w:val="17"/>
  </w:num>
  <w:num w:numId="4">
    <w:abstractNumId w:val="26"/>
  </w:num>
  <w:num w:numId="5">
    <w:abstractNumId w:val="14"/>
  </w:num>
  <w:num w:numId="6">
    <w:abstractNumId w:val="33"/>
  </w:num>
  <w:num w:numId="7">
    <w:abstractNumId w:val="0"/>
  </w:num>
  <w:num w:numId="8">
    <w:abstractNumId w:val="6"/>
  </w:num>
  <w:num w:numId="9">
    <w:abstractNumId w:val="34"/>
  </w:num>
  <w:num w:numId="10">
    <w:abstractNumId w:val="7"/>
  </w:num>
  <w:num w:numId="11">
    <w:abstractNumId w:val="10"/>
  </w:num>
  <w:num w:numId="12">
    <w:abstractNumId w:val="27"/>
  </w:num>
  <w:num w:numId="13">
    <w:abstractNumId w:val="4"/>
  </w:num>
  <w:num w:numId="14">
    <w:abstractNumId w:val="40"/>
  </w:num>
  <w:num w:numId="15">
    <w:abstractNumId w:val="18"/>
  </w:num>
  <w:num w:numId="16">
    <w:abstractNumId w:val="15"/>
  </w:num>
  <w:num w:numId="17">
    <w:abstractNumId w:val="31"/>
  </w:num>
  <w:num w:numId="18">
    <w:abstractNumId w:val="25"/>
  </w:num>
  <w:num w:numId="19">
    <w:abstractNumId w:val="9"/>
  </w:num>
  <w:num w:numId="20">
    <w:abstractNumId w:val="30"/>
  </w:num>
  <w:num w:numId="21">
    <w:abstractNumId w:val="1"/>
  </w:num>
  <w:num w:numId="22">
    <w:abstractNumId w:val="12"/>
  </w:num>
  <w:num w:numId="23">
    <w:abstractNumId w:val="29"/>
  </w:num>
  <w:num w:numId="24">
    <w:abstractNumId w:val="39"/>
  </w:num>
  <w:num w:numId="25">
    <w:abstractNumId w:val="11"/>
  </w:num>
  <w:num w:numId="26">
    <w:abstractNumId w:val="23"/>
  </w:num>
  <w:num w:numId="27">
    <w:abstractNumId w:val="19"/>
  </w:num>
  <w:num w:numId="28">
    <w:abstractNumId w:val="22"/>
  </w:num>
  <w:num w:numId="29">
    <w:abstractNumId w:val="13"/>
  </w:num>
  <w:num w:numId="30">
    <w:abstractNumId w:val="32"/>
  </w:num>
  <w:num w:numId="31">
    <w:abstractNumId w:val="16"/>
  </w:num>
  <w:num w:numId="32">
    <w:abstractNumId w:val="25"/>
    <w:lvlOverride w:ilvl="0">
      <w:startOverride w:val="1"/>
    </w:lvlOverride>
  </w:num>
  <w:num w:numId="33">
    <w:abstractNumId w:val="20"/>
  </w:num>
  <w:num w:numId="34">
    <w:abstractNumId w:val="24"/>
  </w:num>
  <w:num w:numId="35">
    <w:abstractNumId w:val="5"/>
  </w:num>
  <w:num w:numId="36">
    <w:abstractNumId w:val="36"/>
  </w:num>
  <w:num w:numId="37">
    <w:abstractNumId w:val="8"/>
  </w:num>
  <w:num w:numId="38">
    <w:abstractNumId w:val="37"/>
  </w:num>
  <w:num w:numId="39">
    <w:abstractNumId w:val="2"/>
  </w:num>
  <w:num w:numId="40">
    <w:abstractNumId w:val="38"/>
  </w:num>
  <w:num w:numId="41">
    <w:abstractNumId w:val="28"/>
  </w:num>
  <w:num w:numId="42">
    <w:abstractNumId w:val="3"/>
  </w:num>
  <w:num w:numId="43">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E76FCF"/>
    <w:rsid w:val="000116D5"/>
    <w:rsid w:val="0002393E"/>
    <w:rsid w:val="00026A5E"/>
    <w:rsid w:val="00031CA3"/>
    <w:rsid w:val="00036BBB"/>
    <w:rsid w:val="00050F41"/>
    <w:rsid w:val="000637FF"/>
    <w:rsid w:val="00070A51"/>
    <w:rsid w:val="00072ED6"/>
    <w:rsid w:val="00073B85"/>
    <w:rsid w:val="000811EE"/>
    <w:rsid w:val="00090414"/>
    <w:rsid w:val="00094C91"/>
    <w:rsid w:val="000959A5"/>
    <w:rsid w:val="00095A22"/>
    <w:rsid w:val="000A084F"/>
    <w:rsid w:val="000C1218"/>
    <w:rsid w:val="000C2260"/>
    <w:rsid w:val="000E0D53"/>
    <w:rsid w:val="000E2402"/>
    <w:rsid w:val="000E2CBF"/>
    <w:rsid w:val="000E4197"/>
    <w:rsid w:val="00113FA0"/>
    <w:rsid w:val="001233A4"/>
    <w:rsid w:val="00124BE3"/>
    <w:rsid w:val="00145933"/>
    <w:rsid w:val="0018507D"/>
    <w:rsid w:val="00195EA0"/>
    <w:rsid w:val="001A1B1A"/>
    <w:rsid w:val="001A3F35"/>
    <w:rsid w:val="001A7D97"/>
    <w:rsid w:val="001C0427"/>
    <w:rsid w:val="001C2851"/>
    <w:rsid w:val="001C3489"/>
    <w:rsid w:val="001C63F4"/>
    <w:rsid w:val="001E2DD3"/>
    <w:rsid w:val="001E647F"/>
    <w:rsid w:val="001F0083"/>
    <w:rsid w:val="001F0658"/>
    <w:rsid w:val="002169AA"/>
    <w:rsid w:val="00225322"/>
    <w:rsid w:val="00237A6C"/>
    <w:rsid w:val="00261CE4"/>
    <w:rsid w:val="0026201E"/>
    <w:rsid w:val="00272CA8"/>
    <w:rsid w:val="0027559B"/>
    <w:rsid w:val="00276147"/>
    <w:rsid w:val="00277258"/>
    <w:rsid w:val="002775B7"/>
    <w:rsid w:val="002828DB"/>
    <w:rsid w:val="00290F3C"/>
    <w:rsid w:val="002A46A2"/>
    <w:rsid w:val="002A6F3B"/>
    <w:rsid w:val="002A76DE"/>
    <w:rsid w:val="002D08B1"/>
    <w:rsid w:val="002D3CA5"/>
    <w:rsid w:val="002D3FFB"/>
    <w:rsid w:val="002E09E7"/>
    <w:rsid w:val="002E1E63"/>
    <w:rsid w:val="002E617F"/>
    <w:rsid w:val="002F6005"/>
    <w:rsid w:val="002F6B15"/>
    <w:rsid w:val="00302CBB"/>
    <w:rsid w:val="003156E3"/>
    <w:rsid w:val="00340AA6"/>
    <w:rsid w:val="00341A5D"/>
    <w:rsid w:val="003477A7"/>
    <w:rsid w:val="00366C14"/>
    <w:rsid w:val="00375B26"/>
    <w:rsid w:val="0038215F"/>
    <w:rsid w:val="003C390B"/>
    <w:rsid w:val="003D429A"/>
    <w:rsid w:val="003D53D4"/>
    <w:rsid w:val="003D6B4B"/>
    <w:rsid w:val="003E076C"/>
    <w:rsid w:val="003F1DAF"/>
    <w:rsid w:val="00403758"/>
    <w:rsid w:val="004052C4"/>
    <w:rsid w:val="00410544"/>
    <w:rsid w:val="00444542"/>
    <w:rsid w:val="004467EE"/>
    <w:rsid w:val="004627A7"/>
    <w:rsid w:val="004631BE"/>
    <w:rsid w:val="004673D9"/>
    <w:rsid w:val="00475AEB"/>
    <w:rsid w:val="004769B4"/>
    <w:rsid w:val="00476B45"/>
    <w:rsid w:val="00494D3E"/>
    <w:rsid w:val="004A3B34"/>
    <w:rsid w:val="004A5397"/>
    <w:rsid w:val="004A7731"/>
    <w:rsid w:val="004B09BE"/>
    <w:rsid w:val="004E220B"/>
    <w:rsid w:val="004E3CDC"/>
    <w:rsid w:val="005034C4"/>
    <w:rsid w:val="005131EB"/>
    <w:rsid w:val="00516437"/>
    <w:rsid w:val="00523214"/>
    <w:rsid w:val="00523B53"/>
    <w:rsid w:val="005309C7"/>
    <w:rsid w:val="00540C83"/>
    <w:rsid w:val="00540E77"/>
    <w:rsid w:val="00545CD2"/>
    <w:rsid w:val="0057005A"/>
    <w:rsid w:val="005713BC"/>
    <w:rsid w:val="00584B4C"/>
    <w:rsid w:val="0058757C"/>
    <w:rsid w:val="00596560"/>
    <w:rsid w:val="005A24C4"/>
    <w:rsid w:val="005A2DF9"/>
    <w:rsid w:val="005E2DF9"/>
    <w:rsid w:val="005E6702"/>
    <w:rsid w:val="00612DEE"/>
    <w:rsid w:val="006174D4"/>
    <w:rsid w:val="00622F87"/>
    <w:rsid w:val="00624434"/>
    <w:rsid w:val="006249A5"/>
    <w:rsid w:val="00657F44"/>
    <w:rsid w:val="00664C4D"/>
    <w:rsid w:val="00680E88"/>
    <w:rsid w:val="00691817"/>
    <w:rsid w:val="00694825"/>
    <w:rsid w:val="00694BF0"/>
    <w:rsid w:val="0069676A"/>
    <w:rsid w:val="006A0336"/>
    <w:rsid w:val="006C576D"/>
    <w:rsid w:val="006E1C85"/>
    <w:rsid w:val="006E2B2A"/>
    <w:rsid w:val="006E4FB9"/>
    <w:rsid w:val="006E58A2"/>
    <w:rsid w:val="006F10F9"/>
    <w:rsid w:val="006F75B7"/>
    <w:rsid w:val="00714107"/>
    <w:rsid w:val="0071473D"/>
    <w:rsid w:val="00733878"/>
    <w:rsid w:val="00733921"/>
    <w:rsid w:val="00737BEB"/>
    <w:rsid w:val="00742A0F"/>
    <w:rsid w:val="00743B6D"/>
    <w:rsid w:val="00744A1D"/>
    <w:rsid w:val="007452F8"/>
    <w:rsid w:val="00750481"/>
    <w:rsid w:val="007838B9"/>
    <w:rsid w:val="00790B40"/>
    <w:rsid w:val="00793160"/>
    <w:rsid w:val="007A30F8"/>
    <w:rsid w:val="007C32F5"/>
    <w:rsid w:val="007C39BB"/>
    <w:rsid w:val="007E26AE"/>
    <w:rsid w:val="008069ED"/>
    <w:rsid w:val="00831E1D"/>
    <w:rsid w:val="00834D5E"/>
    <w:rsid w:val="00842624"/>
    <w:rsid w:val="00852A36"/>
    <w:rsid w:val="00865CB6"/>
    <w:rsid w:val="00880078"/>
    <w:rsid w:val="00885553"/>
    <w:rsid w:val="008C2EBB"/>
    <w:rsid w:val="008E6999"/>
    <w:rsid w:val="008F427D"/>
    <w:rsid w:val="008F5544"/>
    <w:rsid w:val="008F6D98"/>
    <w:rsid w:val="00931998"/>
    <w:rsid w:val="00937EFF"/>
    <w:rsid w:val="00943A85"/>
    <w:rsid w:val="009511FB"/>
    <w:rsid w:val="00962925"/>
    <w:rsid w:val="00963DD2"/>
    <w:rsid w:val="0097231A"/>
    <w:rsid w:val="009B7999"/>
    <w:rsid w:val="009C399C"/>
    <w:rsid w:val="009D4CFE"/>
    <w:rsid w:val="009F2730"/>
    <w:rsid w:val="009F2DCD"/>
    <w:rsid w:val="009F62D0"/>
    <w:rsid w:val="00A001AE"/>
    <w:rsid w:val="00A272DF"/>
    <w:rsid w:val="00A3121F"/>
    <w:rsid w:val="00A3281F"/>
    <w:rsid w:val="00A35CCB"/>
    <w:rsid w:val="00A50F78"/>
    <w:rsid w:val="00A566E0"/>
    <w:rsid w:val="00A91C09"/>
    <w:rsid w:val="00AA232F"/>
    <w:rsid w:val="00AB693F"/>
    <w:rsid w:val="00AC4778"/>
    <w:rsid w:val="00AD2269"/>
    <w:rsid w:val="00AD7F03"/>
    <w:rsid w:val="00AE0DBF"/>
    <w:rsid w:val="00B3421F"/>
    <w:rsid w:val="00B4196B"/>
    <w:rsid w:val="00B65D34"/>
    <w:rsid w:val="00B802E7"/>
    <w:rsid w:val="00B804DE"/>
    <w:rsid w:val="00B95CFB"/>
    <w:rsid w:val="00BA066A"/>
    <w:rsid w:val="00BB1BF0"/>
    <w:rsid w:val="00BB33C9"/>
    <w:rsid w:val="00BC1CC5"/>
    <w:rsid w:val="00BE34ED"/>
    <w:rsid w:val="00BE6C52"/>
    <w:rsid w:val="00C117AE"/>
    <w:rsid w:val="00C2389E"/>
    <w:rsid w:val="00C2706F"/>
    <w:rsid w:val="00C333D4"/>
    <w:rsid w:val="00C3568D"/>
    <w:rsid w:val="00C544C1"/>
    <w:rsid w:val="00C708BA"/>
    <w:rsid w:val="00C744D1"/>
    <w:rsid w:val="00CC6DED"/>
    <w:rsid w:val="00CC767B"/>
    <w:rsid w:val="00CF4056"/>
    <w:rsid w:val="00D02CBB"/>
    <w:rsid w:val="00D35AB5"/>
    <w:rsid w:val="00D424E3"/>
    <w:rsid w:val="00D520CE"/>
    <w:rsid w:val="00D543E1"/>
    <w:rsid w:val="00D55A89"/>
    <w:rsid w:val="00D62853"/>
    <w:rsid w:val="00D66C1D"/>
    <w:rsid w:val="00D80024"/>
    <w:rsid w:val="00D80CA2"/>
    <w:rsid w:val="00D91D97"/>
    <w:rsid w:val="00D95B2A"/>
    <w:rsid w:val="00DB673A"/>
    <w:rsid w:val="00DD17DC"/>
    <w:rsid w:val="00DE23F9"/>
    <w:rsid w:val="00E03F57"/>
    <w:rsid w:val="00E04CF2"/>
    <w:rsid w:val="00E31C41"/>
    <w:rsid w:val="00E378C3"/>
    <w:rsid w:val="00E44D1E"/>
    <w:rsid w:val="00E5477D"/>
    <w:rsid w:val="00E56DB2"/>
    <w:rsid w:val="00E76FCF"/>
    <w:rsid w:val="00E7711A"/>
    <w:rsid w:val="00E86163"/>
    <w:rsid w:val="00EB268C"/>
    <w:rsid w:val="00EC05A7"/>
    <w:rsid w:val="00EC74E5"/>
    <w:rsid w:val="00ED6B54"/>
    <w:rsid w:val="00F0169C"/>
    <w:rsid w:val="00F03889"/>
    <w:rsid w:val="00F22E9D"/>
    <w:rsid w:val="00F25ECE"/>
    <w:rsid w:val="00F30242"/>
    <w:rsid w:val="00F67C66"/>
    <w:rsid w:val="00F71591"/>
    <w:rsid w:val="00F751E6"/>
    <w:rsid w:val="00F920B0"/>
    <w:rsid w:val="00FB0049"/>
    <w:rsid w:val="00FB3A9B"/>
    <w:rsid w:val="00FC6566"/>
    <w:rsid w:val="00FD3A85"/>
    <w:rsid w:val="00FD5C6B"/>
    <w:rsid w:val="00FE7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3B"/>
    <w:rPr>
      <w:sz w:val="24"/>
      <w:szCs w:val="22"/>
    </w:rPr>
  </w:style>
  <w:style w:type="paragraph" w:styleId="Heading1">
    <w:name w:val="heading 1"/>
    <w:basedOn w:val="Normal"/>
    <w:next w:val="Normal"/>
    <w:link w:val="Heading1Char"/>
    <w:uiPriority w:val="9"/>
    <w:qFormat/>
    <w:rsid w:val="0002393E"/>
    <w:pPr>
      <w:numPr>
        <w:numId w:val="18"/>
      </w:numPr>
      <w:autoSpaceDE w:val="0"/>
      <w:autoSpaceDN w:val="0"/>
      <w:adjustRightInd w:val="0"/>
      <w:outlineLvl w:val="0"/>
    </w:pPr>
    <w:rPr>
      <w:rFonts w:ascii="Verdana" w:hAnsi="Verdana"/>
      <w:b/>
      <w:bCs/>
    </w:rPr>
  </w:style>
  <w:style w:type="paragraph" w:styleId="Heading2">
    <w:name w:val="heading 2"/>
    <w:basedOn w:val="Normal"/>
    <w:next w:val="Normal"/>
    <w:link w:val="Heading2Char"/>
    <w:uiPriority w:val="9"/>
    <w:semiHidden/>
    <w:unhideWhenUsed/>
    <w:qFormat/>
    <w:rsid w:val="0002393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6F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F0083"/>
    <w:rPr>
      <w:sz w:val="20"/>
      <w:szCs w:val="20"/>
    </w:rPr>
  </w:style>
  <w:style w:type="character" w:customStyle="1" w:styleId="FootnoteTextChar">
    <w:name w:val="Footnote Text Char"/>
    <w:basedOn w:val="DefaultParagraphFont"/>
    <w:link w:val="FootnoteText"/>
    <w:uiPriority w:val="99"/>
    <w:semiHidden/>
    <w:rsid w:val="001F0083"/>
  </w:style>
  <w:style w:type="character" w:styleId="FootnoteReference">
    <w:name w:val="footnote reference"/>
    <w:uiPriority w:val="99"/>
    <w:unhideWhenUsed/>
    <w:rsid w:val="001F0083"/>
    <w:rPr>
      <w:vertAlign w:val="superscript"/>
    </w:rPr>
  </w:style>
  <w:style w:type="character" w:styleId="Hyperlink">
    <w:name w:val="Hyperlink"/>
    <w:uiPriority w:val="99"/>
    <w:unhideWhenUsed/>
    <w:rsid w:val="001F0083"/>
    <w:rPr>
      <w:color w:val="0000FF"/>
      <w:u w:val="single"/>
    </w:rPr>
  </w:style>
  <w:style w:type="paragraph" w:styleId="ListParagraph">
    <w:name w:val="List Paragraph"/>
    <w:basedOn w:val="Normal"/>
    <w:uiPriority w:val="34"/>
    <w:qFormat/>
    <w:rsid w:val="007C32F5"/>
    <w:pPr>
      <w:ind w:left="720"/>
      <w:contextualSpacing/>
    </w:pPr>
    <w:rPr>
      <w:szCs w:val="24"/>
    </w:rPr>
  </w:style>
  <w:style w:type="paragraph" w:styleId="Header">
    <w:name w:val="header"/>
    <w:basedOn w:val="Normal"/>
    <w:link w:val="HeaderChar"/>
    <w:uiPriority w:val="99"/>
    <w:unhideWhenUsed/>
    <w:rsid w:val="00EC05A7"/>
    <w:pPr>
      <w:tabs>
        <w:tab w:val="center" w:pos="4680"/>
        <w:tab w:val="right" w:pos="9360"/>
      </w:tabs>
    </w:pPr>
  </w:style>
  <w:style w:type="character" w:customStyle="1" w:styleId="HeaderChar">
    <w:name w:val="Header Char"/>
    <w:link w:val="Header"/>
    <w:uiPriority w:val="99"/>
    <w:rsid w:val="00EC05A7"/>
    <w:rPr>
      <w:sz w:val="24"/>
      <w:szCs w:val="22"/>
    </w:rPr>
  </w:style>
  <w:style w:type="paragraph" w:styleId="Footer">
    <w:name w:val="footer"/>
    <w:basedOn w:val="Normal"/>
    <w:link w:val="FooterChar"/>
    <w:uiPriority w:val="99"/>
    <w:unhideWhenUsed/>
    <w:rsid w:val="00EC05A7"/>
    <w:pPr>
      <w:tabs>
        <w:tab w:val="center" w:pos="4680"/>
        <w:tab w:val="right" w:pos="9360"/>
      </w:tabs>
    </w:pPr>
  </w:style>
  <w:style w:type="character" w:customStyle="1" w:styleId="FooterChar">
    <w:name w:val="Footer Char"/>
    <w:link w:val="Footer"/>
    <w:uiPriority w:val="99"/>
    <w:rsid w:val="00EC05A7"/>
    <w:rPr>
      <w:sz w:val="24"/>
      <w:szCs w:val="22"/>
    </w:rPr>
  </w:style>
  <w:style w:type="paragraph" w:styleId="BalloonText">
    <w:name w:val="Balloon Text"/>
    <w:basedOn w:val="Normal"/>
    <w:link w:val="BalloonTextChar"/>
    <w:uiPriority w:val="99"/>
    <w:semiHidden/>
    <w:unhideWhenUsed/>
    <w:rsid w:val="00EC05A7"/>
    <w:rPr>
      <w:rFonts w:ascii="Tahoma" w:hAnsi="Tahoma"/>
      <w:sz w:val="16"/>
      <w:szCs w:val="16"/>
    </w:rPr>
  </w:style>
  <w:style w:type="character" w:customStyle="1" w:styleId="BalloonTextChar">
    <w:name w:val="Balloon Text Char"/>
    <w:link w:val="BalloonText"/>
    <w:uiPriority w:val="99"/>
    <w:semiHidden/>
    <w:rsid w:val="00EC05A7"/>
    <w:rPr>
      <w:rFonts w:ascii="Tahoma" w:hAnsi="Tahoma" w:cs="Tahoma"/>
      <w:sz w:val="16"/>
      <w:szCs w:val="16"/>
    </w:rPr>
  </w:style>
  <w:style w:type="character" w:styleId="PageNumber">
    <w:name w:val="page number"/>
    <w:uiPriority w:val="99"/>
    <w:rsid w:val="00113FA0"/>
    <w:rPr>
      <w:rFonts w:cs="Times New Roman"/>
      <w:b/>
    </w:rPr>
  </w:style>
  <w:style w:type="paragraph" w:styleId="Revision">
    <w:name w:val="Revision"/>
    <w:hidden/>
    <w:uiPriority w:val="99"/>
    <w:semiHidden/>
    <w:rsid w:val="00C744D1"/>
    <w:rPr>
      <w:sz w:val="24"/>
      <w:szCs w:val="22"/>
    </w:rPr>
  </w:style>
  <w:style w:type="character" w:styleId="CommentReference">
    <w:name w:val="annotation reference"/>
    <w:uiPriority w:val="99"/>
    <w:semiHidden/>
    <w:unhideWhenUsed/>
    <w:rsid w:val="00E03F57"/>
    <w:rPr>
      <w:sz w:val="16"/>
      <w:szCs w:val="16"/>
    </w:rPr>
  </w:style>
  <w:style w:type="paragraph" w:styleId="CommentText">
    <w:name w:val="annotation text"/>
    <w:basedOn w:val="Normal"/>
    <w:link w:val="CommentTextChar"/>
    <w:uiPriority w:val="99"/>
    <w:semiHidden/>
    <w:unhideWhenUsed/>
    <w:rsid w:val="00E03F57"/>
    <w:rPr>
      <w:sz w:val="20"/>
      <w:szCs w:val="20"/>
    </w:rPr>
  </w:style>
  <w:style w:type="character" w:customStyle="1" w:styleId="CommentTextChar">
    <w:name w:val="Comment Text Char"/>
    <w:basedOn w:val="DefaultParagraphFont"/>
    <w:link w:val="CommentText"/>
    <w:uiPriority w:val="99"/>
    <w:semiHidden/>
    <w:rsid w:val="00E03F57"/>
  </w:style>
  <w:style w:type="paragraph" w:styleId="CommentSubject">
    <w:name w:val="annotation subject"/>
    <w:basedOn w:val="CommentText"/>
    <w:next w:val="CommentText"/>
    <w:link w:val="CommentSubjectChar"/>
    <w:uiPriority w:val="99"/>
    <w:semiHidden/>
    <w:unhideWhenUsed/>
    <w:rsid w:val="00E03F57"/>
    <w:rPr>
      <w:b/>
      <w:bCs/>
    </w:rPr>
  </w:style>
  <w:style w:type="character" w:customStyle="1" w:styleId="CommentSubjectChar">
    <w:name w:val="Comment Subject Char"/>
    <w:link w:val="CommentSubject"/>
    <w:uiPriority w:val="99"/>
    <w:semiHidden/>
    <w:rsid w:val="00E03F57"/>
    <w:rPr>
      <w:b/>
      <w:bCs/>
    </w:rPr>
  </w:style>
  <w:style w:type="character" w:customStyle="1" w:styleId="Heading1Char">
    <w:name w:val="Heading 1 Char"/>
    <w:link w:val="Heading1"/>
    <w:uiPriority w:val="9"/>
    <w:rsid w:val="0002393E"/>
    <w:rPr>
      <w:rFonts w:ascii="Verdana" w:hAnsi="Verdana"/>
      <w:b/>
      <w:bCs/>
      <w:sz w:val="24"/>
      <w:szCs w:val="22"/>
    </w:rPr>
  </w:style>
  <w:style w:type="character" w:customStyle="1" w:styleId="Heading2Char">
    <w:name w:val="Heading 2 Char"/>
    <w:link w:val="Heading2"/>
    <w:uiPriority w:val="9"/>
    <w:semiHidden/>
    <w:rsid w:val="0002393E"/>
    <w:rPr>
      <w:rFonts w:ascii="Cambria" w:eastAsia="Times New Roman" w:hAnsi="Cambria" w:cs="Times New Roman"/>
      <w:b/>
      <w:bCs/>
      <w:i/>
      <w:iCs/>
      <w:sz w:val="28"/>
      <w:szCs w:val="28"/>
    </w:rPr>
  </w:style>
  <w:style w:type="paragraph" w:styleId="TOC1">
    <w:name w:val="toc 1"/>
    <w:basedOn w:val="Normal"/>
    <w:next w:val="Normal"/>
    <w:autoRedefine/>
    <w:uiPriority w:val="39"/>
    <w:unhideWhenUsed/>
    <w:qFormat/>
    <w:rsid w:val="0002393E"/>
    <w:pPr>
      <w:tabs>
        <w:tab w:val="left" w:pos="720"/>
        <w:tab w:val="right" w:leader="dot" w:pos="12950"/>
      </w:tabs>
      <w:spacing w:afterLines="240"/>
    </w:pPr>
  </w:style>
  <w:style w:type="paragraph" w:customStyle="1" w:styleId="DOB1">
    <w:name w:val="DOB1"/>
    <w:basedOn w:val="Normal"/>
    <w:qFormat/>
    <w:rsid w:val="00733878"/>
    <w:pPr>
      <w:tabs>
        <w:tab w:val="left" w:pos="7560"/>
      </w:tabs>
      <w:spacing w:after="200"/>
      <w:outlineLvl w:val="0"/>
    </w:pPr>
    <w:rPr>
      <w:rFonts w:ascii="Gill Sans MT" w:eastAsia="Times New Roman" w:hAnsi="Gill Sans MT" w:cs="Arial"/>
      <w:b/>
      <w:sz w:val="20"/>
      <w:szCs w:val="20"/>
    </w:rPr>
  </w:style>
  <w:style w:type="paragraph" w:customStyle="1" w:styleId="DOB2">
    <w:name w:val="DOB2"/>
    <w:basedOn w:val="Normal"/>
    <w:qFormat/>
    <w:rsid w:val="00733878"/>
    <w:pPr>
      <w:tabs>
        <w:tab w:val="left" w:pos="7560"/>
      </w:tabs>
      <w:spacing w:after="200"/>
      <w:outlineLvl w:val="0"/>
    </w:pPr>
    <w:rPr>
      <w:rFonts w:ascii="Gill Sans MT" w:hAnsi="Gill Sans MT"/>
      <w:b/>
      <w:sz w:val="20"/>
      <w:szCs w:val="20"/>
    </w:rPr>
  </w:style>
  <w:style w:type="paragraph" w:styleId="TOCHeading">
    <w:name w:val="TOC Heading"/>
    <w:basedOn w:val="Heading1"/>
    <w:next w:val="Normal"/>
    <w:uiPriority w:val="39"/>
    <w:semiHidden/>
    <w:unhideWhenUsed/>
    <w:qFormat/>
    <w:rsid w:val="007C39BB"/>
    <w:pPr>
      <w:keepNext/>
      <w:keepLines/>
      <w:numPr>
        <w:numId w:val="0"/>
      </w:numPr>
      <w:autoSpaceDE/>
      <w:autoSpaceDN/>
      <w:adjustRightInd/>
      <w:spacing w:before="480" w:line="276" w:lineRule="auto"/>
      <w:outlineLvl w:val="9"/>
    </w:pPr>
    <w:rPr>
      <w:rFonts w:ascii="Cambria" w:eastAsia="Times New Roman" w:hAnsi="Cambria"/>
      <w:color w:val="365F91"/>
      <w:sz w:val="28"/>
      <w:szCs w:val="28"/>
    </w:rPr>
  </w:style>
  <w:style w:type="paragraph" w:styleId="TOC2">
    <w:name w:val="toc 2"/>
    <w:basedOn w:val="Normal"/>
    <w:next w:val="Normal"/>
    <w:autoRedefine/>
    <w:uiPriority w:val="39"/>
    <w:semiHidden/>
    <w:unhideWhenUsed/>
    <w:qFormat/>
    <w:rsid w:val="007C39BB"/>
    <w:pPr>
      <w:spacing w:after="100" w:line="276" w:lineRule="auto"/>
      <w:ind w:left="220"/>
    </w:pPr>
    <w:rPr>
      <w:rFonts w:ascii="Calibri" w:eastAsia="Times New Roman" w:hAnsi="Calibri"/>
      <w:sz w:val="22"/>
    </w:rPr>
  </w:style>
  <w:style w:type="paragraph" w:styleId="TOC3">
    <w:name w:val="toc 3"/>
    <w:basedOn w:val="Normal"/>
    <w:next w:val="Normal"/>
    <w:autoRedefine/>
    <w:uiPriority w:val="39"/>
    <w:semiHidden/>
    <w:unhideWhenUsed/>
    <w:qFormat/>
    <w:rsid w:val="007C39BB"/>
    <w:pPr>
      <w:spacing w:after="100" w:line="276" w:lineRule="auto"/>
      <w:ind w:left="440"/>
    </w:pPr>
    <w:rPr>
      <w:rFonts w:ascii="Calibri" w:eastAsia="Times New Roman"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
    <w:qFormat/>
    <w:rsid w:val="0002393E"/>
    <w:pPr>
      <w:numPr>
        <w:numId w:val="18"/>
      </w:numPr>
      <w:autoSpaceDE w:val="0"/>
      <w:autoSpaceDN w:val="0"/>
      <w:adjustRightInd w:val="0"/>
      <w:outlineLvl w:val="0"/>
    </w:pPr>
    <w:rPr>
      <w:rFonts w:ascii="Verdana" w:hAnsi="Verdana"/>
      <w:b/>
      <w:bCs/>
    </w:rPr>
  </w:style>
  <w:style w:type="paragraph" w:styleId="Heading2">
    <w:name w:val="heading 2"/>
    <w:basedOn w:val="Normal"/>
    <w:next w:val="Normal"/>
    <w:link w:val="Heading2Char"/>
    <w:uiPriority w:val="9"/>
    <w:semiHidden/>
    <w:unhideWhenUsed/>
    <w:qFormat/>
    <w:rsid w:val="0002393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6F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F0083"/>
    <w:rPr>
      <w:sz w:val="20"/>
      <w:szCs w:val="20"/>
    </w:rPr>
  </w:style>
  <w:style w:type="character" w:customStyle="1" w:styleId="FootnoteTextChar">
    <w:name w:val="Footnote Text Char"/>
    <w:basedOn w:val="DefaultParagraphFont"/>
    <w:link w:val="FootnoteText"/>
    <w:uiPriority w:val="99"/>
    <w:semiHidden/>
    <w:rsid w:val="001F0083"/>
  </w:style>
  <w:style w:type="character" w:styleId="FootnoteReference">
    <w:name w:val="footnote reference"/>
    <w:uiPriority w:val="99"/>
    <w:unhideWhenUsed/>
    <w:rsid w:val="001F0083"/>
    <w:rPr>
      <w:vertAlign w:val="superscript"/>
    </w:rPr>
  </w:style>
  <w:style w:type="character" w:styleId="Hyperlink">
    <w:name w:val="Hyperlink"/>
    <w:uiPriority w:val="99"/>
    <w:unhideWhenUsed/>
    <w:rsid w:val="001F0083"/>
    <w:rPr>
      <w:color w:val="0000FF"/>
      <w:u w:val="single"/>
    </w:rPr>
  </w:style>
  <w:style w:type="paragraph" w:styleId="ListParagraph">
    <w:name w:val="List Paragraph"/>
    <w:basedOn w:val="Normal"/>
    <w:uiPriority w:val="34"/>
    <w:qFormat/>
    <w:rsid w:val="007C32F5"/>
    <w:pPr>
      <w:ind w:left="720"/>
      <w:contextualSpacing/>
    </w:pPr>
    <w:rPr>
      <w:szCs w:val="24"/>
    </w:rPr>
  </w:style>
  <w:style w:type="paragraph" w:styleId="Header">
    <w:name w:val="header"/>
    <w:basedOn w:val="Normal"/>
    <w:link w:val="HeaderChar"/>
    <w:uiPriority w:val="99"/>
    <w:unhideWhenUsed/>
    <w:rsid w:val="00EC05A7"/>
    <w:pPr>
      <w:tabs>
        <w:tab w:val="center" w:pos="4680"/>
        <w:tab w:val="right" w:pos="9360"/>
      </w:tabs>
    </w:pPr>
  </w:style>
  <w:style w:type="character" w:customStyle="1" w:styleId="HeaderChar">
    <w:name w:val="Header Char"/>
    <w:link w:val="Header"/>
    <w:uiPriority w:val="99"/>
    <w:rsid w:val="00EC05A7"/>
    <w:rPr>
      <w:sz w:val="24"/>
      <w:szCs w:val="22"/>
    </w:rPr>
  </w:style>
  <w:style w:type="paragraph" w:styleId="Footer">
    <w:name w:val="footer"/>
    <w:basedOn w:val="Normal"/>
    <w:link w:val="FooterChar"/>
    <w:uiPriority w:val="99"/>
    <w:unhideWhenUsed/>
    <w:rsid w:val="00EC05A7"/>
    <w:pPr>
      <w:tabs>
        <w:tab w:val="center" w:pos="4680"/>
        <w:tab w:val="right" w:pos="9360"/>
      </w:tabs>
    </w:pPr>
  </w:style>
  <w:style w:type="character" w:customStyle="1" w:styleId="FooterChar">
    <w:name w:val="Footer Char"/>
    <w:link w:val="Footer"/>
    <w:uiPriority w:val="99"/>
    <w:rsid w:val="00EC05A7"/>
    <w:rPr>
      <w:sz w:val="24"/>
      <w:szCs w:val="22"/>
    </w:rPr>
  </w:style>
  <w:style w:type="paragraph" w:styleId="BalloonText">
    <w:name w:val="Balloon Text"/>
    <w:basedOn w:val="Normal"/>
    <w:link w:val="BalloonTextChar"/>
    <w:uiPriority w:val="99"/>
    <w:semiHidden/>
    <w:unhideWhenUsed/>
    <w:rsid w:val="00EC05A7"/>
    <w:rPr>
      <w:rFonts w:ascii="Tahoma" w:hAnsi="Tahoma"/>
      <w:sz w:val="16"/>
      <w:szCs w:val="16"/>
    </w:rPr>
  </w:style>
  <w:style w:type="character" w:customStyle="1" w:styleId="BalloonTextChar">
    <w:name w:val="Balloon Text Char"/>
    <w:link w:val="BalloonText"/>
    <w:uiPriority w:val="99"/>
    <w:semiHidden/>
    <w:rsid w:val="00EC05A7"/>
    <w:rPr>
      <w:rFonts w:ascii="Tahoma" w:hAnsi="Tahoma" w:cs="Tahoma"/>
      <w:sz w:val="16"/>
      <w:szCs w:val="16"/>
    </w:rPr>
  </w:style>
  <w:style w:type="character" w:styleId="PageNumber">
    <w:name w:val="page number"/>
    <w:uiPriority w:val="99"/>
    <w:rsid w:val="00113FA0"/>
    <w:rPr>
      <w:rFonts w:cs="Times New Roman"/>
      <w:b/>
    </w:rPr>
  </w:style>
  <w:style w:type="paragraph" w:styleId="Revision">
    <w:name w:val="Revision"/>
    <w:hidden/>
    <w:uiPriority w:val="99"/>
    <w:semiHidden/>
    <w:rsid w:val="00C744D1"/>
    <w:rPr>
      <w:sz w:val="24"/>
      <w:szCs w:val="22"/>
    </w:rPr>
  </w:style>
  <w:style w:type="character" w:styleId="CommentReference">
    <w:name w:val="annotation reference"/>
    <w:uiPriority w:val="99"/>
    <w:semiHidden/>
    <w:unhideWhenUsed/>
    <w:rsid w:val="00E03F57"/>
    <w:rPr>
      <w:sz w:val="16"/>
      <w:szCs w:val="16"/>
    </w:rPr>
  </w:style>
  <w:style w:type="paragraph" w:styleId="CommentText">
    <w:name w:val="annotation text"/>
    <w:basedOn w:val="Normal"/>
    <w:link w:val="CommentTextChar"/>
    <w:uiPriority w:val="99"/>
    <w:semiHidden/>
    <w:unhideWhenUsed/>
    <w:rsid w:val="00E03F57"/>
    <w:rPr>
      <w:sz w:val="20"/>
      <w:szCs w:val="20"/>
    </w:rPr>
  </w:style>
  <w:style w:type="character" w:customStyle="1" w:styleId="CommentTextChar">
    <w:name w:val="Comment Text Char"/>
    <w:basedOn w:val="DefaultParagraphFont"/>
    <w:link w:val="CommentText"/>
    <w:uiPriority w:val="99"/>
    <w:semiHidden/>
    <w:rsid w:val="00E03F57"/>
  </w:style>
  <w:style w:type="paragraph" w:styleId="CommentSubject">
    <w:name w:val="annotation subject"/>
    <w:basedOn w:val="CommentText"/>
    <w:next w:val="CommentText"/>
    <w:link w:val="CommentSubjectChar"/>
    <w:uiPriority w:val="99"/>
    <w:semiHidden/>
    <w:unhideWhenUsed/>
    <w:rsid w:val="00E03F57"/>
    <w:rPr>
      <w:b/>
      <w:bCs/>
    </w:rPr>
  </w:style>
  <w:style w:type="character" w:customStyle="1" w:styleId="CommentSubjectChar">
    <w:name w:val="Comment Subject Char"/>
    <w:link w:val="CommentSubject"/>
    <w:uiPriority w:val="99"/>
    <w:semiHidden/>
    <w:rsid w:val="00E03F57"/>
    <w:rPr>
      <w:b/>
      <w:bCs/>
    </w:rPr>
  </w:style>
  <w:style w:type="character" w:customStyle="1" w:styleId="Heading1Char">
    <w:name w:val="Heading 1 Char"/>
    <w:link w:val="Heading1"/>
    <w:uiPriority w:val="9"/>
    <w:rsid w:val="0002393E"/>
    <w:rPr>
      <w:rFonts w:ascii="Verdana" w:hAnsi="Verdana"/>
      <w:b/>
      <w:bCs/>
      <w:sz w:val="24"/>
      <w:szCs w:val="22"/>
    </w:rPr>
  </w:style>
  <w:style w:type="character" w:customStyle="1" w:styleId="Heading2Char">
    <w:name w:val="Heading 2 Char"/>
    <w:link w:val="Heading2"/>
    <w:uiPriority w:val="9"/>
    <w:semiHidden/>
    <w:rsid w:val="0002393E"/>
    <w:rPr>
      <w:rFonts w:ascii="Cambria" w:eastAsia="Times New Roman" w:hAnsi="Cambria" w:cs="Times New Roman"/>
      <w:b/>
      <w:bCs/>
      <w:i/>
      <w:iCs/>
      <w:sz w:val="28"/>
      <w:szCs w:val="28"/>
    </w:rPr>
  </w:style>
  <w:style w:type="paragraph" w:styleId="TOC1">
    <w:name w:val="toc 1"/>
    <w:basedOn w:val="Normal"/>
    <w:next w:val="Normal"/>
    <w:autoRedefine/>
    <w:uiPriority w:val="39"/>
    <w:unhideWhenUsed/>
    <w:qFormat/>
    <w:rsid w:val="0002393E"/>
    <w:pPr>
      <w:tabs>
        <w:tab w:val="left" w:pos="720"/>
        <w:tab w:val="right" w:leader="dot" w:pos="12950"/>
      </w:tabs>
      <w:spacing w:afterLines="240"/>
    </w:pPr>
  </w:style>
  <w:style w:type="paragraph" w:customStyle="1" w:styleId="DOB1">
    <w:name w:val="DOB1"/>
    <w:basedOn w:val="Normal"/>
    <w:qFormat/>
    <w:rsid w:val="00733878"/>
    <w:pPr>
      <w:tabs>
        <w:tab w:val="left" w:pos="7560"/>
      </w:tabs>
      <w:spacing w:after="200"/>
      <w:outlineLvl w:val="0"/>
    </w:pPr>
    <w:rPr>
      <w:rFonts w:ascii="Gill Sans MT" w:eastAsia="Times New Roman" w:hAnsi="Gill Sans MT" w:cs="Arial"/>
      <w:b/>
      <w:sz w:val="20"/>
      <w:szCs w:val="20"/>
    </w:rPr>
  </w:style>
  <w:style w:type="paragraph" w:customStyle="1" w:styleId="DOB2">
    <w:name w:val="DOB2"/>
    <w:basedOn w:val="Normal"/>
    <w:qFormat/>
    <w:rsid w:val="00733878"/>
    <w:pPr>
      <w:tabs>
        <w:tab w:val="left" w:pos="7560"/>
      </w:tabs>
      <w:spacing w:after="200"/>
      <w:outlineLvl w:val="0"/>
    </w:pPr>
    <w:rPr>
      <w:rFonts w:ascii="Gill Sans MT" w:hAnsi="Gill Sans MT"/>
      <w:b/>
      <w:sz w:val="20"/>
      <w:szCs w:val="20"/>
    </w:rPr>
  </w:style>
  <w:style w:type="paragraph" w:styleId="TOCHeading">
    <w:name w:val="TOC Heading"/>
    <w:basedOn w:val="Heading1"/>
    <w:next w:val="Normal"/>
    <w:uiPriority w:val="39"/>
    <w:semiHidden/>
    <w:unhideWhenUsed/>
    <w:qFormat/>
    <w:rsid w:val="007C39BB"/>
    <w:pPr>
      <w:keepNext/>
      <w:keepLines/>
      <w:numPr>
        <w:numId w:val="0"/>
      </w:numPr>
      <w:autoSpaceDE/>
      <w:autoSpaceDN/>
      <w:adjustRightInd/>
      <w:spacing w:before="480" w:line="276" w:lineRule="auto"/>
      <w:outlineLvl w:val="9"/>
    </w:pPr>
    <w:rPr>
      <w:rFonts w:ascii="Cambria" w:eastAsia="Times New Roman" w:hAnsi="Cambria"/>
      <w:color w:val="365F91"/>
      <w:sz w:val="28"/>
      <w:szCs w:val="28"/>
    </w:rPr>
  </w:style>
  <w:style w:type="paragraph" w:styleId="TOC2">
    <w:name w:val="toc 2"/>
    <w:basedOn w:val="Normal"/>
    <w:next w:val="Normal"/>
    <w:autoRedefine/>
    <w:uiPriority w:val="39"/>
    <w:semiHidden/>
    <w:unhideWhenUsed/>
    <w:qFormat/>
    <w:rsid w:val="007C39BB"/>
    <w:pPr>
      <w:spacing w:after="100" w:line="276" w:lineRule="auto"/>
      <w:ind w:left="220"/>
    </w:pPr>
    <w:rPr>
      <w:rFonts w:ascii="Calibri" w:eastAsia="Times New Roman" w:hAnsi="Calibri"/>
      <w:sz w:val="22"/>
    </w:rPr>
  </w:style>
  <w:style w:type="paragraph" w:styleId="TOC3">
    <w:name w:val="toc 3"/>
    <w:basedOn w:val="Normal"/>
    <w:next w:val="Normal"/>
    <w:autoRedefine/>
    <w:uiPriority w:val="39"/>
    <w:semiHidden/>
    <w:unhideWhenUsed/>
    <w:qFormat/>
    <w:rsid w:val="007C39BB"/>
    <w:pPr>
      <w:spacing w:after="100" w:line="276" w:lineRule="auto"/>
      <w:ind w:left="440"/>
    </w:pPr>
    <w:rPr>
      <w:rFonts w:ascii="Calibri" w:eastAsia="Times New Roman"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621092">
      <w:bodyDiv w:val="1"/>
      <w:marLeft w:val="0"/>
      <w:marRight w:val="0"/>
      <w:marTop w:val="0"/>
      <w:marBottom w:val="0"/>
      <w:divBdr>
        <w:top w:val="none" w:sz="0" w:space="0" w:color="auto"/>
        <w:left w:val="none" w:sz="0" w:space="0" w:color="auto"/>
        <w:bottom w:val="none" w:sz="0" w:space="0" w:color="auto"/>
        <w:right w:val="none" w:sz="0" w:space="0" w:color="auto"/>
      </w:divBdr>
    </w:div>
    <w:div w:id="1268999083">
      <w:bodyDiv w:val="1"/>
      <w:marLeft w:val="0"/>
      <w:marRight w:val="0"/>
      <w:marTop w:val="0"/>
      <w:marBottom w:val="0"/>
      <w:divBdr>
        <w:top w:val="none" w:sz="0" w:space="0" w:color="auto"/>
        <w:left w:val="none" w:sz="0" w:space="0" w:color="auto"/>
        <w:bottom w:val="none" w:sz="0" w:space="0" w:color="auto"/>
        <w:right w:val="none" w:sz="0" w:space="0" w:color="auto"/>
      </w:divBdr>
    </w:div>
    <w:div w:id="209612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AD7DF87B3CA14CB66C9A1699C4C418" ma:contentTypeVersion="0" ma:contentTypeDescription="Create a new document." ma:contentTypeScope="" ma:versionID="39cd354f8c2783be49d899a50c4e60d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76839-B9E9-4ED7-BE4C-0A1AAA129B8F}">
  <ds:schemaRefs>
    <ds:schemaRef ds:uri="http://schemas.microsoft.com/sharepoint/v3/contenttype/forms"/>
  </ds:schemaRefs>
</ds:datastoreItem>
</file>

<file path=customXml/itemProps2.xml><?xml version="1.0" encoding="utf-8"?>
<ds:datastoreItem xmlns:ds="http://schemas.openxmlformats.org/officeDocument/2006/customXml" ds:itemID="{CF6B38F6-3C79-4469-A8B9-C45F1AD226E8}">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dcmitype/"/>
    <ds:schemaRef ds:uri="http://purl.org/dc/terms/"/>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BFE5FD07-63B8-4061-9732-32FD43EBA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AE3D421-5B12-4733-B1B2-19199FCD4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3981</CharactersWithSpaces>
  <SharedDoc>false</SharedDoc>
  <HLinks>
    <vt:vector size="42" baseType="variant">
      <vt:variant>
        <vt:i4>1376304</vt:i4>
      </vt:variant>
      <vt:variant>
        <vt:i4>50</vt:i4>
      </vt:variant>
      <vt:variant>
        <vt:i4>0</vt:i4>
      </vt:variant>
      <vt:variant>
        <vt:i4>5</vt:i4>
      </vt:variant>
      <vt:variant>
        <vt:lpwstr/>
      </vt:variant>
      <vt:variant>
        <vt:lpwstr>_Toc322683957</vt:lpwstr>
      </vt:variant>
      <vt:variant>
        <vt:i4>1376304</vt:i4>
      </vt:variant>
      <vt:variant>
        <vt:i4>44</vt:i4>
      </vt:variant>
      <vt:variant>
        <vt:i4>0</vt:i4>
      </vt:variant>
      <vt:variant>
        <vt:i4>5</vt:i4>
      </vt:variant>
      <vt:variant>
        <vt:lpwstr/>
      </vt:variant>
      <vt:variant>
        <vt:lpwstr>_Toc322683956</vt:lpwstr>
      </vt:variant>
      <vt:variant>
        <vt:i4>1376304</vt:i4>
      </vt:variant>
      <vt:variant>
        <vt:i4>38</vt:i4>
      </vt:variant>
      <vt:variant>
        <vt:i4>0</vt:i4>
      </vt:variant>
      <vt:variant>
        <vt:i4>5</vt:i4>
      </vt:variant>
      <vt:variant>
        <vt:lpwstr/>
      </vt:variant>
      <vt:variant>
        <vt:lpwstr>_Toc322683954</vt:lpwstr>
      </vt:variant>
      <vt:variant>
        <vt:i4>1376304</vt:i4>
      </vt:variant>
      <vt:variant>
        <vt:i4>32</vt:i4>
      </vt:variant>
      <vt:variant>
        <vt:i4>0</vt:i4>
      </vt:variant>
      <vt:variant>
        <vt:i4>5</vt:i4>
      </vt:variant>
      <vt:variant>
        <vt:lpwstr/>
      </vt:variant>
      <vt:variant>
        <vt:lpwstr>_Toc322683954</vt:lpwstr>
      </vt:variant>
      <vt:variant>
        <vt:i4>1376304</vt:i4>
      </vt:variant>
      <vt:variant>
        <vt:i4>26</vt:i4>
      </vt:variant>
      <vt:variant>
        <vt:i4>0</vt:i4>
      </vt:variant>
      <vt:variant>
        <vt:i4>5</vt:i4>
      </vt:variant>
      <vt:variant>
        <vt:lpwstr/>
      </vt:variant>
      <vt:variant>
        <vt:lpwstr>_Toc322683954</vt:lpwstr>
      </vt:variant>
      <vt:variant>
        <vt:i4>1376304</vt:i4>
      </vt:variant>
      <vt:variant>
        <vt:i4>20</vt:i4>
      </vt:variant>
      <vt:variant>
        <vt:i4>0</vt:i4>
      </vt:variant>
      <vt:variant>
        <vt:i4>5</vt:i4>
      </vt:variant>
      <vt:variant>
        <vt:lpwstr/>
      </vt:variant>
      <vt:variant>
        <vt:lpwstr>_Toc322683954</vt:lpwstr>
      </vt:variant>
      <vt:variant>
        <vt:i4>1376304</vt:i4>
      </vt:variant>
      <vt:variant>
        <vt:i4>14</vt:i4>
      </vt:variant>
      <vt:variant>
        <vt:i4>0</vt:i4>
      </vt:variant>
      <vt:variant>
        <vt:i4>5</vt:i4>
      </vt:variant>
      <vt:variant>
        <vt:lpwstr/>
      </vt:variant>
      <vt:variant>
        <vt:lpwstr>_Toc322683952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Conley</dc:creator>
  <cp:lastModifiedBy>Sailer, Sheryl T.</cp:lastModifiedBy>
  <cp:revision>2</cp:revision>
  <cp:lastPrinted>2015-09-04T16:23:00Z</cp:lastPrinted>
  <dcterms:created xsi:type="dcterms:W3CDTF">2016-02-25T16:27:00Z</dcterms:created>
  <dcterms:modified xsi:type="dcterms:W3CDTF">2016-02-25T16:27:00Z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0x010100B1AD7DF87B3CA14CB66C9A1699C4C418</vt:lpwstr>
  </property>
</Properties>
</file>