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2" w:rsidRPr="00733878" w:rsidRDefault="00733878" w:rsidP="00733878">
      <w:pPr>
        <w:pStyle w:val="DOB1"/>
        <w:rPr>
          <w:rFonts w:eastAsia="Calibri"/>
        </w:rPr>
      </w:pPr>
      <w:r w:rsidRPr="00733878">
        <w:t>Entity Name:</w:t>
      </w:r>
      <w:r w:rsidR="00963DD2" w:rsidRPr="00733878">
        <w:rPr>
          <w:rFonts w:eastAsia="Calibri"/>
        </w:rPr>
        <w:tab/>
        <w:t xml:space="preserve">Prepared by: </w:t>
      </w:r>
    </w:p>
    <w:p w:rsidR="00963DD2" w:rsidRPr="00733878" w:rsidRDefault="0071473D" w:rsidP="00733878">
      <w:pPr>
        <w:pStyle w:val="DOB2"/>
      </w:pPr>
      <w:r>
        <w:t>NMLS/</w:t>
      </w:r>
      <w:r w:rsidR="00963DD2" w:rsidRPr="00733878">
        <w:t xml:space="preserve">License Number: </w:t>
      </w:r>
      <w:r w:rsidR="00E35B9E" w:rsidRPr="00733878">
        <w:fldChar w:fldCharType="begin">
          <w:ffData>
            <w:name w:val=""/>
            <w:enabled/>
            <w:calcOnExit w:val="0"/>
            <w:textInput>
              <w:maxLength w:val="10"/>
            </w:textInput>
          </w:ffData>
        </w:fldChar>
      </w:r>
      <w:r w:rsidR="00963DD2" w:rsidRPr="00733878">
        <w:instrText xml:space="preserve"> FORMTEXT </w:instrText>
      </w:r>
      <w:r w:rsidR="00E35B9E"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E35B9E" w:rsidRPr="00733878">
        <w:fldChar w:fldCharType="end"/>
      </w:r>
      <w:r w:rsidR="00963DD2" w:rsidRPr="00733878">
        <w:tab/>
        <w:t xml:space="preserve">Date: </w:t>
      </w:r>
    </w:p>
    <w:tbl>
      <w:tblPr>
        <w:tblW w:w="0" w:type="auto"/>
        <w:tblBorders>
          <w:top w:val="single" w:sz="18" w:space="0" w:color="auto"/>
        </w:tblBorders>
        <w:tblLook w:val="04A0" w:firstRow="1" w:lastRow="0" w:firstColumn="1" w:lastColumn="0" w:noHBand="0" w:noVBand="1"/>
      </w:tblPr>
      <w:tblGrid>
        <w:gridCol w:w="13158"/>
      </w:tblGrid>
      <w:tr w:rsidR="00963DD2" w:rsidRPr="00963DD2" w:rsidTr="005309C7">
        <w:tc>
          <w:tcPr>
            <w:tcW w:w="13158" w:type="dxa"/>
          </w:tcPr>
          <w:p w:rsidR="00963DD2" w:rsidRPr="005E2DF9" w:rsidRDefault="00963DD2" w:rsidP="00963DD2">
            <w:pPr>
              <w:rPr>
                <w:b/>
                <w:szCs w:val="24"/>
              </w:rPr>
            </w:pPr>
          </w:p>
        </w:tc>
      </w:tr>
    </w:tbl>
    <w:p w:rsidR="000959A5" w:rsidRPr="007B65EE" w:rsidRDefault="00D80024" w:rsidP="007B65EE">
      <w:pPr>
        <w:jc w:val="both"/>
        <w:rPr>
          <w:rFonts w:asciiTheme="minorHAnsi" w:hAnsiTheme="minorHAnsi" w:cs="Calibri"/>
          <w:szCs w:val="24"/>
        </w:rPr>
      </w:pPr>
      <w:r w:rsidRPr="007B65EE">
        <w:rPr>
          <w:rFonts w:asciiTheme="minorHAnsi" w:hAnsiTheme="minorHAnsi" w:cs="Calibri"/>
          <w:szCs w:val="24"/>
        </w:rPr>
        <w:t xml:space="preserve">Examiners should use this template to evaluate the entity’s </w:t>
      </w:r>
      <w:r w:rsidR="007B65EE" w:rsidRPr="007B65EE">
        <w:rPr>
          <w:rFonts w:asciiTheme="minorHAnsi" w:hAnsiTheme="minorHAnsi" w:cs="Calibri"/>
          <w:szCs w:val="24"/>
        </w:rPr>
        <w:t>trust account management</w:t>
      </w:r>
      <w:r w:rsidRPr="007B65EE">
        <w:rPr>
          <w:rFonts w:asciiTheme="minorHAnsi" w:hAnsiTheme="minorHAnsi" w:cs="Calibri"/>
          <w:szCs w:val="24"/>
        </w:rPr>
        <w:t>.</w:t>
      </w:r>
      <w:r w:rsidR="00793160" w:rsidRPr="007B65EE">
        <w:rPr>
          <w:rFonts w:asciiTheme="minorHAnsi" w:hAnsiTheme="minorHAnsi" w:cs="Calibri"/>
          <w:szCs w:val="24"/>
        </w:rPr>
        <w:t xml:space="preserve"> </w:t>
      </w:r>
      <w:r w:rsidR="007B65EE" w:rsidRPr="007B65EE">
        <w:rPr>
          <w:rFonts w:asciiTheme="minorHAnsi" w:hAnsiTheme="minorHAnsi"/>
        </w:rPr>
        <w:t xml:space="preserve">The review of the trust account requires focused attention. It is critical that the licensee manages the trust account properly. The operating account should be reviewed from the prospective that if the account is mismanaged, the business itself, or the trust account, could be compromised. </w:t>
      </w:r>
      <w:r w:rsidRPr="007B65EE">
        <w:rPr>
          <w:rFonts w:asciiTheme="minorHAnsi" w:hAnsiTheme="minorHAnsi" w:cs="Calibri"/>
          <w:szCs w:val="24"/>
        </w:rPr>
        <w:t xml:space="preserve">The review should cover the items listed below (and </w:t>
      </w:r>
      <w:r w:rsidR="002D3FFB" w:rsidRPr="007B65EE">
        <w:rPr>
          <w:rFonts w:asciiTheme="minorHAnsi" w:hAnsiTheme="minorHAnsi" w:cs="Calibri"/>
          <w:szCs w:val="24"/>
        </w:rPr>
        <w:t xml:space="preserve">detailed </w:t>
      </w:r>
      <w:r w:rsidR="007B65EE" w:rsidRPr="007B65EE">
        <w:rPr>
          <w:rFonts w:asciiTheme="minorHAnsi" w:hAnsiTheme="minorHAnsi" w:cs="Calibri"/>
          <w:szCs w:val="24"/>
        </w:rPr>
        <w:t>where applicable).</w:t>
      </w:r>
    </w:p>
    <w:p w:rsidR="000959A5" w:rsidRPr="00596560" w:rsidRDefault="000959A5" w:rsidP="000959A5">
      <w:pPr>
        <w:ind w:left="720"/>
        <w:rPr>
          <w:rFonts w:ascii="Calibri" w:hAnsi="Calibri" w:cs="Calibri"/>
        </w:rPr>
      </w:pPr>
    </w:p>
    <w:p w:rsidR="0002393E" w:rsidRPr="00695D1C" w:rsidRDefault="0002393E" w:rsidP="0002393E">
      <w:pPr>
        <w:rPr>
          <w:rFonts w:ascii="Calibri" w:hAnsi="Calibri" w:cs="Calibri"/>
          <w:szCs w:val="24"/>
        </w:rPr>
      </w:pPr>
    </w:p>
    <w:p w:rsidR="00101502" w:rsidRPr="00596560" w:rsidRDefault="00E35B9E" w:rsidP="00101502">
      <w:pPr>
        <w:pStyle w:val="TOC1"/>
        <w:spacing w:after="576"/>
        <w:rPr>
          <w:rFonts w:ascii="Calibri" w:hAnsi="Calibri" w:cs="Calibri"/>
          <w:noProof/>
        </w:rPr>
      </w:pPr>
      <w:r w:rsidRPr="00596560">
        <w:rPr>
          <w:rFonts w:ascii="Calibri" w:hAnsi="Calibri" w:cs="Calibri"/>
          <w:szCs w:val="24"/>
        </w:rPr>
        <w:fldChar w:fldCharType="begin"/>
      </w:r>
      <w:r w:rsidR="00101502" w:rsidRPr="00596560">
        <w:rPr>
          <w:rFonts w:ascii="Calibri" w:hAnsi="Calibri" w:cs="Calibri"/>
          <w:szCs w:val="24"/>
        </w:rPr>
        <w:instrText xml:space="preserve"> TOC \o "1-1" \h \z \u </w:instrText>
      </w:r>
      <w:r w:rsidRPr="00596560">
        <w:rPr>
          <w:rFonts w:ascii="Calibri" w:hAnsi="Calibri" w:cs="Calibri"/>
          <w:szCs w:val="24"/>
        </w:rPr>
        <w:fldChar w:fldCharType="separate"/>
      </w:r>
      <w:hyperlink w:anchor="_Toc322683952" w:history="1">
        <w:r w:rsidR="00101502" w:rsidRPr="00596560">
          <w:rPr>
            <w:rStyle w:val="Hyperlink"/>
            <w:rFonts w:ascii="Calibri" w:hAnsi="Calibri" w:cs="Calibri"/>
            <w:noProof/>
          </w:rPr>
          <w:t>I.</w:t>
        </w:r>
        <w:r w:rsidR="00101502" w:rsidRPr="00596560">
          <w:rPr>
            <w:rFonts w:ascii="Calibri" w:hAnsi="Calibri" w:cs="Calibri"/>
            <w:noProof/>
          </w:rPr>
          <w:tab/>
        </w:r>
        <w:r w:rsidR="00101502">
          <w:rPr>
            <w:rStyle w:val="Hyperlink"/>
            <w:rFonts w:ascii="Calibri" w:hAnsi="Calibri" w:cs="Calibri"/>
            <w:noProof/>
          </w:rPr>
          <w:t>Trust account review</w:t>
        </w:r>
        <w:r w:rsidR="00101502" w:rsidRPr="00596560">
          <w:rPr>
            <w:rFonts w:ascii="Calibri" w:hAnsi="Calibri" w:cs="Calibri"/>
            <w:noProof/>
            <w:webHidden/>
          </w:rPr>
          <w:tab/>
        </w:r>
      </w:hyperlink>
      <w:r w:rsidR="00153BCB">
        <w:rPr>
          <w:rFonts w:ascii="Calibri" w:hAnsi="Calibri" w:cs="Calibri"/>
        </w:rPr>
        <w:t>[#]</w:t>
      </w:r>
    </w:p>
    <w:p w:rsidR="00101502" w:rsidRDefault="00153BCB" w:rsidP="00101502">
      <w:pPr>
        <w:pStyle w:val="TOC1"/>
        <w:tabs>
          <w:tab w:val="left" w:pos="1440"/>
        </w:tabs>
        <w:spacing w:after="576"/>
        <w:ind w:left="720"/>
        <w:rPr>
          <w:rFonts w:ascii="Calibri" w:hAnsi="Calibri" w:cs="Calibri"/>
        </w:rPr>
      </w:pPr>
      <w:hyperlink w:anchor="_Toc322683954" w:history="1">
        <w:r w:rsidR="00101502" w:rsidRPr="00D42065">
          <w:rPr>
            <w:rStyle w:val="Hyperlink"/>
            <w:rFonts w:ascii="Calibri" w:hAnsi="Calibri" w:cs="Calibri"/>
            <w:noProof/>
            <w:color w:val="auto"/>
          </w:rPr>
          <w:t>A.</w:t>
        </w:r>
        <w:r w:rsidR="00101502" w:rsidRPr="00D42065">
          <w:rPr>
            <w:rFonts w:ascii="Calibri" w:hAnsi="Calibri" w:cs="Calibri"/>
            <w:noProof/>
          </w:rPr>
          <w:tab/>
        </w:r>
        <w:r w:rsidR="00D42065" w:rsidRPr="00D42065">
          <w:rPr>
            <w:rStyle w:val="Hyperlink"/>
            <w:rFonts w:ascii="Calibri" w:hAnsi="Calibri" w:cs="Calibri"/>
            <w:noProof/>
            <w:color w:val="auto"/>
          </w:rPr>
          <w:t>State specific subset</w:t>
        </w:r>
        <w:r w:rsidR="00101502" w:rsidRPr="00D42065">
          <w:rPr>
            <w:rFonts w:ascii="Calibri" w:hAnsi="Calibri" w:cs="Calibri"/>
            <w:noProof/>
            <w:webHidden/>
          </w:rPr>
          <w:tab/>
        </w:r>
        <w:r>
          <w:rPr>
            <w:rFonts w:ascii="Calibri" w:hAnsi="Calibri" w:cs="Calibri"/>
          </w:rPr>
          <w:t>[#]</w:t>
        </w:r>
      </w:hyperlink>
    </w:p>
    <w:p w:rsidR="00153BCB" w:rsidRDefault="00153BCB" w:rsidP="00153BCB">
      <w:pPr>
        <w:pStyle w:val="TOC1"/>
        <w:tabs>
          <w:tab w:val="left" w:pos="1440"/>
        </w:tabs>
        <w:spacing w:after="576"/>
        <w:ind w:left="720"/>
        <w:rPr>
          <w:rFonts w:ascii="Calibri" w:hAnsi="Calibri" w:cs="Calibri"/>
        </w:rPr>
      </w:pPr>
      <w:hyperlink w:anchor="_Toc322683954" w:history="1">
        <w:r w:rsidRPr="00D42065">
          <w:rPr>
            <w:rStyle w:val="Hyperlink"/>
            <w:rFonts w:ascii="Calibri" w:hAnsi="Calibri" w:cs="Calibri"/>
            <w:noProof/>
            <w:color w:val="auto"/>
          </w:rPr>
          <w:t>A</w:t>
        </w:r>
        <w:r>
          <w:rPr>
            <w:rStyle w:val="Hyperlink"/>
            <w:rFonts w:ascii="Calibri" w:hAnsi="Calibri" w:cs="Calibri"/>
            <w:noProof/>
            <w:color w:val="auto"/>
          </w:rPr>
          <w:t>-1</w:t>
        </w:r>
        <w:r w:rsidRPr="00D42065">
          <w:rPr>
            <w:rStyle w:val="Hyperlink"/>
            <w:rFonts w:ascii="Calibri" w:hAnsi="Calibri" w:cs="Calibri"/>
            <w:noProof/>
            <w:color w:val="auto"/>
          </w:rPr>
          <w:t>.</w:t>
        </w:r>
        <w:r w:rsidRPr="00D42065">
          <w:rPr>
            <w:rFonts w:ascii="Calibri" w:hAnsi="Calibri" w:cs="Calibri"/>
            <w:noProof/>
          </w:rPr>
          <w:tab/>
        </w:r>
        <w:r w:rsidRPr="00D42065">
          <w:rPr>
            <w:rStyle w:val="Hyperlink"/>
            <w:rFonts w:ascii="Calibri" w:hAnsi="Calibri" w:cs="Calibri"/>
            <w:noProof/>
            <w:color w:val="auto"/>
          </w:rPr>
          <w:t>State specific subset</w:t>
        </w:r>
        <w:r w:rsidRPr="00D42065">
          <w:rPr>
            <w:rFonts w:ascii="Calibri" w:hAnsi="Calibri" w:cs="Calibri"/>
            <w:noProof/>
            <w:webHidden/>
          </w:rPr>
          <w:tab/>
        </w:r>
        <w:r>
          <w:rPr>
            <w:rFonts w:ascii="Calibri" w:hAnsi="Calibri" w:cs="Calibri"/>
          </w:rPr>
          <w:t>[#]</w:t>
        </w:r>
      </w:hyperlink>
    </w:p>
    <w:p w:rsidR="00153BCB" w:rsidRPr="00153BCB" w:rsidRDefault="00153BCB" w:rsidP="00153BCB"/>
    <w:p w:rsidR="00153BCB" w:rsidRPr="00153BCB" w:rsidRDefault="00153BCB" w:rsidP="00153BCB"/>
    <w:p w:rsidR="0002393E" w:rsidRDefault="00E35B9E" w:rsidP="009E7051">
      <w:pPr>
        <w:tabs>
          <w:tab w:val="left" w:pos="720"/>
        </w:tabs>
        <w:spacing w:afterLines="240" w:after="576"/>
        <w:rPr>
          <w:szCs w:val="24"/>
        </w:rPr>
      </w:pPr>
      <w:r w:rsidRPr="00596560">
        <w:rPr>
          <w:rFonts w:ascii="Calibri" w:hAnsi="Calibri" w:cs="Calibri"/>
          <w:szCs w:val="24"/>
        </w:rPr>
        <w:fldChar w:fldCharType="end"/>
      </w:r>
      <w:bookmarkStart w:id="0" w:name="_GoBack"/>
      <w:bookmarkEnd w:id="0"/>
    </w:p>
    <w:p w:rsidR="0002393E" w:rsidRPr="00793160" w:rsidRDefault="00101502" w:rsidP="0002393E">
      <w:pPr>
        <w:rPr>
          <w:szCs w:val="24"/>
        </w:rPr>
        <w:sectPr w:rsidR="0002393E" w:rsidRPr="00793160" w:rsidSect="00963DD2">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r>
        <w:rPr>
          <w:szCs w:val="24"/>
        </w:rPr>
        <w:tab/>
      </w:r>
    </w:p>
    <w:p w:rsidR="002E1E63" w:rsidRPr="00050F41" w:rsidRDefault="002E1E63" w:rsidP="002E1E63">
      <w:pPr>
        <w:rPr>
          <w:rFonts w:ascii="Calibri" w:hAnsi="Calibri" w:cs="Calibri"/>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FC6566" w:rsidRPr="00050F41" w:rsidTr="00793160">
        <w:tc>
          <w:tcPr>
            <w:tcW w:w="12960" w:type="dxa"/>
            <w:gridSpan w:val="2"/>
            <w:shd w:val="clear" w:color="auto" w:fill="D9D9D9"/>
          </w:tcPr>
          <w:p w:rsidR="00FC6566" w:rsidRPr="00624434" w:rsidRDefault="00D55A89" w:rsidP="007B65EE">
            <w:pPr>
              <w:pStyle w:val="Heading1"/>
              <w:rPr>
                <w:rFonts w:cs="Calibri"/>
              </w:rPr>
            </w:pPr>
            <w:bookmarkStart w:id="1" w:name="_Toc322683952"/>
            <w:r w:rsidRPr="00624434">
              <w:rPr>
                <w:rFonts w:cs="Calibri"/>
              </w:rPr>
              <w:t xml:space="preserve">Examination Procedures </w:t>
            </w:r>
            <w:r w:rsidR="007B65EE">
              <w:rPr>
                <w:rFonts w:cs="Calibri"/>
              </w:rPr>
              <w:t>–</w:t>
            </w:r>
            <w:r w:rsidRPr="00624434">
              <w:rPr>
                <w:rFonts w:cs="Calibri"/>
              </w:rPr>
              <w:t xml:space="preserve"> </w:t>
            </w:r>
            <w:bookmarkEnd w:id="1"/>
            <w:r w:rsidR="007B65EE">
              <w:rPr>
                <w:rFonts w:cs="Calibri"/>
              </w:rPr>
              <w:t>Trust Account Review</w:t>
            </w:r>
            <w:r w:rsidRPr="00624434">
              <w:rPr>
                <w:rFonts w:cs="Calibri"/>
              </w:rPr>
              <w:t xml:space="preserve"> </w:t>
            </w:r>
          </w:p>
        </w:tc>
      </w:tr>
      <w:tr w:rsidR="00FC6566" w:rsidRPr="00050F41" w:rsidTr="00793160">
        <w:tc>
          <w:tcPr>
            <w:tcW w:w="6480" w:type="dxa"/>
            <w:shd w:val="clear" w:color="auto" w:fill="D9D9D9"/>
          </w:tcPr>
          <w:p w:rsidR="00FC6566" w:rsidRPr="00050F41" w:rsidRDefault="00FC6566" w:rsidP="007B65EE">
            <w:pPr>
              <w:autoSpaceDE w:val="0"/>
              <w:autoSpaceDN w:val="0"/>
              <w:adjustRightInd w:val="0"/>
              <w:rPr>
                <w:rFonts w:ascii="Calibri" w:hAnsi="Calibri" w:cs="Calibri"/>
                <w:b/>
                <w:i/>
                <w:sz w:val="20"/>
              </w:rPr>
            </w:pPr>
            <w:r w:rsidRPr="00050F41">
              <w:rPr>
                <w:rFonts w:ascii="Calibri" w:hAnsi="Calibri" w:cs="Calibri"/>
                <w:b/>
                <w:i/>
                <w:sz w:val="20"/>
              </w:rPr>
              <w:t xml:space="preserve">To evaluate </w:t>
            </w:r>
            <w:r w:rsidR="007B65EE">
              <w:rPr>
                <w:rFonts w:ascii="Calibri" w:hAnsi="Calibri" w:cs="Calibri"/>
                <w:b/>
                <w:i/>
                <w:sz w:val="20"/>
              </w:rPr>
              <w:t>Licensee’s oversight of trust account(s)</w:t>
            </w:r>
          </w:p>
        </w:tc>
        <w:tc>
          <w:tcPr>
            <w:tcW w:w="6480" w:type="dxa"/>
            <w:shd w:val="clear" w:color="auto" w:fill="D9D9D9"/>
          </w:tcPr>
          <w:p w:rsidR="00FC6566" w:rsidRPr="00050F41" w:rsidRDefault="00FC6566" w:rsidP="00FD5C6B">
            <w:pPr>
              <w:jc w:val="center"/>
              <w:rPr>
                <w:rFonts w:ascii="Calibri" w:hAnsi="Calibri" w:cs="Calibri"/>
                <w:b/>
                <w:i/>
                <w:sz w:val="20"/>
              </w:rPr>
            </w:pPr>
            <w:r w:rsidRPr="00050F41">
              <w:rPr>
                <w:rFonts w:ascii="Calibri" w:hAnsi="Calibri" w:cs="Calibri"/>
                <w:b/>
                <w:i/>
                <w:sz w:val="20"/>
              </w:rPr>
              <w:t>C</w:t>
            </w:r>
            <w:r w:rsidR="00FB0049" w:rsidRPr="00050F41">
              <w:rPr>
                <w:rFonts w:ascii="Calibri" w:hAnsi="Calibri" w:cs="Calibri"/>
                <w:b/>
                <w:i/>
                <w:sz w:val="20"/>
              </w:rPr>
              <w:t>omments</w:t>
            </w:r>
          </w:p>
        </w:tc>
      </w:tr>
      <w:tr w:rsidR="00FC6566" w:rsidRPr="00050F41" w:rsidTr="00DB7EF9">
        <w:trPr>
          <w:trHeight w:val="413"/>
        </w:trPr>
        <w:tc>
          <w:tcPr>
            <w:tcW w:w="6480" w:type="dxa"/>
            <w:shd w:val="clear" w:color="auto" w:fill="auto"/>
          </w:tcPr>
          <w:p w:rsidR="00FC6566" w:rsidRPr="00DB7EF9" w:rsidRDefault="007B65EE" w:rsidP="00D66897">
            <w:pPr>
              <w:numPr>
                <w:ilvl w:val="0"/>
                <w:numId w:val="2"/>
              </w:numPr>
              <w:autoSpaceDE w:val="0"/>
              <w:autoSpaceDN w:val="0"/>
              <w:adjustRightInd w:val="0"/>
              <w:jc w:val="both"/>
              <w:rPr>
                <w:rFonts w:asciiTheme="minorHAnsi" w:hAnsiTheme="minorHAnsi" w:cs="Calibri"/>
              </w:rPr>
            </w:pPr>
            <w:r w:rsidRPr="00DB7EF9">
              <w:rPr>
                <w:rFonts w:asciiTheme="minorHAnsi" w:hAnsiTheme="minorHAnsi" w:cs="Calibri"/>
              </w:rPr>
              <w:t>Is the reconciliation math OK?</w:t>
            </w:r>
          </w:p>
        </w:tc>
        <w:tc>
          <w:tcPr>
            <w:tcW w:w="6480" w:type="dxa"/>
            <w:shd w:val="clear" w:color="auto" w:fill="auto"/>
          </w:tcPr>
          <w:p w:rsidR="00FC6566" w:rsidRPr="00050F41" w:rsidRDefault="00FC6566" w:rsidP="00FD5C6B">
            <w:pPr>
              <w:rPr>
                <w:rFonts w:ascii="Calibri" w:hAnsi="Calibri" w:cs="Calibri"/>
              </w:rPr>
            </w:pPr>
          </w:p>
        </w:tc>
      </w:tr>
      <w:tr w:rsidR="00FC6566" w:rsidRPr="00050F41" w:rsidTr="00DB7EF9">
        <w:trPr>
          <w:trHeight w:val="683"/>
        </w:trPr>
        <w:tc>
          <w:tcPr>
            <w:tcW w:w="6480" w:type="dxa"/>
            <w:shd w:val="clear" w:color="auto" w:fill="auto"/>
          </w:tcPr>
          <w:p w:rsidR="00FC6566" w:rsidRPr="00DB7EF9" w:rsidRDefault="007B65EE" w:rsidP="00D66897">
            <w:pPr>
              <w:numPr>
                <w:ilvl w:val="0"/>
                <w:numId w:val="2"/>
              </w:numPr>
              <w:autoSpaceDE w:val="0"/>
              <w:autoSpaceDN w:val="0"/>
              <w:adjustRightInd w:val="0"/>
              <w:jc w:val="both"/>
              <w:rPr>
                <w:rFonts w:asciiTheme="minorHAnsi" w:hAnsiTheme="minorHAnsi" w:cs="Calibri"/>
              </w:rPr>
            </w:pPr>
            <w:r w:rsidRPr="00DB7EF9">
              <w:rPr>
                <w:rFonts w:asciiTheme="minorHAnsi" w:hAnsiTheme="minorHAnsi" w:cs="Calibri"/>
              </w:rPr>
              <w:t>Do the current reconciliation figures align with the results of previous reconciliations?</w:t>
            </w:r>
          </w:p>
        </w:tc>
        <w:tc>
          <w:tcPr>
            <w:tcW w:w="6480" w:type="dxa"/>
            <w:shd w:val="clear" w:color="auto" w:fill="auto"/>
          </w:tcPr>
          <w:p w:rsidR="00FC6566" w:rsidRPr="00050F41" w:rsidRDefault="00FC6566" w:rsidP="00FD5C6B">
            <w:pPr>
              <w:rPr>
                <w:rFonts w:ascii="Calibri" w:hAnsi="Calibri" w:cs="Calibri"/>
              </w:rPr>
            </w:pPr>
          </w:p>
        </w:tc>
      </w:tr>
      <w:tr w:rsidR="00FC6566" w:rsidRPr="00050F41" w:rsidTr="00793160">
        <w:tc>
          <w:tcPr>
            <w:tcW w:w="6480" w:type="dxa"/>
            <w:shd w:val="clear" w:color="auto" w:fill="auto"/>
          </w:tcPr>
          <w:p w:rsidR="00FC6566" w:rsidRPr="006B6EDF" w:rsidRDefault="007B65EE" w:rsidP="00D66897">
            <w:pPr>
              <w:numPr>
                <w:ilvl w:val="0"/>
                <w:numId w:val="2"/>
              </w:numPr>
              <w:autoSpaceDE w:val="0"/>
              <w:autoSpaceDN w:val="0"/>
              <w:adjustRightInd w:val="0"/>
              <w:jc w:val="both"/>
              <w:rPr>
                <w:rFonts w:asciiTheme="minorHAnsi" w:hAnsiTheme="minorHAnsi" w:cs="Calibri"/>
                <w:szCs w:val="24"/>
              </w:rPr>
            </w:pPr>
            <w:r w:rsidRPr="006B6EDF">
              <w:rPr>
                <w:rFonts w:asciiTheme="minorHAnsi" w:hAnsiTheme="minorHAnsi"/>
                <w:szCs w:val="24"/>
              </w:rPr>
              <w:t>Does the deposit total on the recon</w:t>
            </w:r>
            <w:r w:rsidR="006B6EDF" w:rsidRPr="006B6EDF">
              <w:rPr>
                <w:rFonts w:asciiTheme="minorHAnsi" w:hAnsiTheme="minorHAnsi"/>
                <w:szCs w:val="24"/>
              </w:rPr>
              <w:t>ciliation</w:t>
            </w:r>
            <w:r w:rsidRPr="006B6EDF">
              <w:rPr>
                <w:rFonts w:asciiTheme="minorHAnsi" w:hAnsiTheme="minorHAnsi"/>
                <w:szCs w:val="24"/>
              </w:rPr>
              <w:t xml:space="preserve"> compare with the bank statement deposit total?</w:t>
            </w:r>
          </w:p>
        </w:tc>
        <w:tc>
          <w:tcPr>
            <w:tcW w:w="6480" w:type="dxa"/>
            <w:shd w:val="clear" w:color="auto" w:fill="auto"/>
          </w:tcPr>
          <w:p w:rsidR="00FC6566" w:rsidRPr="00050F41" w:rsidRDefault="00FC6566" w:rsidP="00FD5C6B">
            <w:pPr>
              <w:rPr>
                <w:rFonts w:ascii="Calibri" w:hAnsi="Calibri" w:cs="Calibri"/>
              </w:rPr>
            </w:pPr>
          </w:p>
        </w:tc>
      </w:tr>
      <w:tr w:rsidR="00FC6566" w:rsidRPr="00050F41" w:rsidTr="00793160">
        <w:tc>
          <w:tcPr>
            <w:tcW w:w="6480" w:type="dxa"/>
            <w:shd w:val="clear" w:color="auto" w:fill="auto"/>
          </w:tcPr>
          <w:p w:rsidR="00FC6566" w:rsidRPr="006B6EDF" w:rsidRDefault="007B65EE" w:rsidP="00D66897">
            <w:pPr>
              <w:numPr>
                <w:ilvl w:val="0"/>
                <w:numId w:val="2"/>
              </w:numPr>
              <w:autoSpaceDE w:val="0"/>
              <w:autoSpaceDN w:val="0"/>
              <w:adjustRightInd w:val="0"/>
              <w:jc w:val="both"/>
              <w:rPr>
                <w:rFonts w:asciiTheme="minorHAnsi" w:hAnsiTheme="minorHAnsi" w:cs="Calibri"/>
                <w:szCs w:val="24"/>
              </w:rPr>
            </w:pPr>
            <w:r w:rsidRPr="006B6EDF">
              <w:rPr>
                <w:rFonts w:asciiTheme="minorHAnsi" w:hAnsiTheme="minorHAnsi"/>
                <w:szCs w:val="24"/>
              </w:rPr>
              <w:t xml:space="preserve">Have the </w:t>
            </w:r>
            <w:proofErr w:type="spellStart"/>
            <w:r w:rsidRPr="006B6EDF">
              <w:rPr>
                <w:rFonts w:asciiTheme="minorHAnsi" w:hAnsiTheme="minorHAnsi"/>
                <w:szCs w:val="24"/>
              </w:rPr>
              <w:t>uncle</w:t>
            </w:r>
            <w:r w:rsidR="006B6EDF" w:rsidRPr="006B6EDF">
              <w:rPr>
                <w:rFonts w:asciiTheme="minorHAnsi" w:hAnsiTheme="minorHAnsi"/>
                <w:szCs w:val="24"/>
              </w:rPr>
              <w:t>ared</w:t>
            </w:r>
            <w:proofErr w:type="spellEnd"/>
            <w:r w:rsidR="006B6EDF" w:rsidRPr="006B6EDF">
              <w:rPr>
                <w:rFonts w:asciiTheme="minorHAnsi" w:hAnsiTheme="minorHAnsi"/>
                <w:szCs w:val="24"/>
              </w:rPr>
              <w:t xml:space="preserve"> deposits from prior reconciliations </w:t>
            </w:r>
            <w:r w:rsidRPr="006B6EDF">
              <w:rPr>
                <w:rFonts w:asciiTheme="minorHAnsi" w:hAnsiTheme="minorHAnsi"/>
                <w:szCs w:val="24"/>
              </w:rPr>
              <w:t>cleared the bank the following month?</w:t>
            </w:r>
          </w:p>
        </w:tc>
        <w:tc>
          <w:tcPr>
            <w:tcW w:w="6480" w:type="dxa"/>
            <w:shd w:val="clear" w:color="auto" w:fill="auto"/>
          </w:tcPr>
          <w:p w:rsidR="00FC6566" w:rsidRPr="00050F41" w:rsidRDefault="00FC6566" w:rsidP="00FD5C6B">
            <w:pPr>
              <w:rPr>
                <w:rFonts w:ascii="Calibri" w:hAnsi="Calibri" w:cs="Calibri"/>
              </w:rPr>
            </w:pPr>
          </w:p>
        </w:tc>
      </w:tr>
      <w:tr w:rsidR="00FC6566" w:rsidRPr="00050F41" w:rsidTr="00793160">
        <w:tc>
          <w:tcPr>
            <w:tcW w:w="6480" w:type="dxa"/>
            <w:shd w:val="clear" w:color="auto" w:fill="auto"/>
          </w:tcPr>
          <w:p w:rsidR="00FC6566" w:rsidRPr="006B6EDF" w:rsidRDefault="007B65EE" w:rsidP="00D66897">
            <w:pPr>
              <w:numPr>
                <w:ilvl w:val="0"/>
                <w:numId w:val="2"/>
              </w:numPr>
              <w:autoSpaceDE w:val="0"/>
              <w:autoSpaceDN w:val="0"/>
              <w:adjustRightInd w:val="0"/>
              <w:jc w:val="both"/>
              <w:rPr>
                <w:rFonts w:asciiTheme="minorHAnsi" w:hAnsiTheme="minorHAnsi" w:cs="Calibri"/>
                <w:szCs w:val="24"/>
              </w:rPr>
            </w:pPr>
            <w:r w:rsidRPr="006B6EDF">
              <w:rPr>
                <w:rFonts w:asciiTheme="minorHAnsi" w:hAnsiTheme="minorHAnsi"/>
                <w:szCs w:val="24"/>
              </w:rPr>
              <w:t>A</w:t>
            </w:r>
            <w:r w:rsidR="00D66897">
              <w:rPr>
                <w:rFonts w:asciiTheme="minorHAnsi" w:hAnsiTheme="minorHAnsi"/>
                <w:szCs w:val="24"/>
              </w:rPr>
              <w:t>re there a</w:t>
            </w:r>
            <w:r w:rsidRPr="006B6EDF">
              <w:rPr>
                <w:rFonts w:asciiTheme="minorHAnsi" w:hAnsiTheme="minorHAnsi"/>
                <w:szCs w:val="24"/>
              </w:rPr>
              <w:t xml:space="preserve">ny instances where the trust </w:t>
            </w:r>
            <w:r w:rsidRPr="006B6EDF">
              <w:rPr>
                <w:rFonts w:asciiTheme="minorHAnsi" w:hAnsiTheme="minorHAnsi"/>
                <w:i/>
                <w:szCs w:val="24"/>
              </w:rPr>
              <w:t>register</w:t>
            </w:r>
            <w:r w:rsidRPr="006B6EDF">
              <w:rPr>
                <w:rFonts w:asciiTheme="minorHAnsi" w:hAnsiTheme="minorHAnsi"/>
                <w:szCs w:val="24"/>
              </w:rPr>
              <w:t xml:space="preserve"> balance is less than the outstanding check total from the previous trust period?</w:t>
            </w:r>
          </w:p>
        </w:tc>
        <w:tc>
          <w:tcPr>
            <w:tcW w:w="6480" w:type="dxa"/>
            <w:shd w:val="clear" w:color="auto" w:fill="auto"/>
          </w:tcPr>
          <w:p w:rsidR="00FC6566" w:rsidRPr="00880078" w:rsidRDefault="00FC6566" w:rsidP="00362727">
            <w:pPr>
              <w:rPr>
                <w:rFonts w:ascii="Calibri" w:hAnsi="Calibri" w:cs="Calibri"/>
                <w:b/>
              </w:rPr>
            </w:pPr>
          </w:p>
        </w:tc>
      </w:tr>
      <w:tr w:rsidR="00FC6566" w:rsidRPr="00050F41" w:rsidTr="00793160">
        <w:tc>
          <w:tcPr>
            <w:tcW w:w="6480" w:type="dxa"/>
            <w:shd w:val="clear" w:color="auto" w:fill="auto"/>
          </w:tcPr>
          <w:p w:rsidR="00FC6566" w:rsidRPr="006B6EDF" w:rsidRDefault="005D771F" w:rsidP="005D771F">
            <w:pPr>
              <w:numPr>
                <w:ilvl w:val="0"/>
                <w:numId w:val="2"/>
              </w:numPr>
              <w:autoSpaceDE w:val="0"/>
              <w:autoSpaceDN w:val="0"/>
              <w:adjustRightInd w:val="0"/>
              <w:jc w:val="both"/>
              <w:rPr>
                <w:rFonts w:asciiTheme="minorHAnsi" w:hAnsiTheme="minorHAnsi" w:cs="Calibri"/>
                <w:szCs w:val="24"/>
              </w:rPr>
            </w:pPr>
            <w:r>
              <w:rPr>
                <w:rFonts w:asciiTheme="minorHAnsi" w:hAnsiTheme="minorHAnsi"/>
                <w:szCs w:val="24"/>
              </w:rPr>
              <w:t>Are there m</w:t>
            </w:r>
            <w:r w:rsidR="007B65EE" w:rsidRPr="006B6EDF">
              <w:rPr>
                <w:rFonts w:asciiTheme="minorHAnsi" w:hAnsiTheme="minorHAnsi"/>
                <w:szCs w:val="24"/>
              </w:rPr>
              <w:t xml:space="preserve">ultiple </w:t>
            </w:r>
            <w:proofErr w:type="spellStart"/>
            <w:r w:rsidR="007B65EE" w:rsidRPr="006B6EDF">
              <w:rPr>
                <w:rFonts w:asciiTheme="minorHAnsi" w:hAnsiTheme="minorHAnsi"/>
                <w:szCs w:val="24"/>
              </w:rPr>
              <w:t>uncleared</w:t>
            </w:r>
            <w:proofErr w:type="spellEnd"/>
            <w:r w:rsidR="007B65EE" w:rsidRPr="006B6EDF">
              <w:rPr>
                <w:rFonts w:asciiTheme="minorHAnsi" w:hAnsiTheme="minorHAnsi"/>
                <w:szCs w:val="24"/>
              </w:rPr>
              <w:t xml:space="preserve"> </w:t>
            </w:r>
            <w:r>
              <w:rPr>
                <w:rFonts w:asciiTheme="minorHAnsi" w:hAnsiTheme="minorHAnsi"/>
                <w:szCs w:val="24"/>
              </w:rPr>
              <w:t xml:space="preserve">checks </w:t>
            </w:r>
            <w:r w:rsidR="007B65EE" w:rsidRPr="006B6EDF">
              <w:rPr>
                <w:rFonts w:asciiTheme="minorHAnsi" w:hAnsiTheme="minorHAnsi"/>
                <w:szCs w:val="24"/>
              </w:rPr>
              <w:t>to same client?</w:t>
            </w:r>
          </w:p>
        </w:tc>
        <w:tc>
          <w:tcPr>
            <w:tcW w:w="6480" w:type="dxa"/>
            <w:shd w:val="clear" w:color="auto" w:fill="auto"/>
          </w:tcPr>
          <w:p w:rsidR="00FC6566" w:rsidRPr="00050F41" w:rsidRDefault="004922B3" w:rsidP="004922B3">
            <w:pPr>
              <w:rPr>
                <w:rFonts w:ascii="Calibri" w:hAnsi="Calibri" w:cs="Calibri"/>
              </w:rPr>
            </w:pPr>
            <w:r>
              <w:rPr>
                <w:rFonts w:ascii="Calibri" w:hAnsi="Calibri" w:cs="Calibri"/>
              </w:rPr>
              <w:t>.</w:t>
            </w:r>
          </w:p>
        </w:tc>
      </w:tr>
      <w:tr w:rsidR="00FC6566" w:rsidRPr="00050F41" w:rsidTr="00793160">
        <w:tc>
          <w:tcPr>
            <w:tcW w:w="6480" w:type="dxa"/>
            <w:shd w:val="clear" w:color="auto" w:fill="auto"/>
          </w:tcPr>
          <w:p w:rsidR="00FC6566" w:rsidRPr="006B6EDF" w:rsidRDefault="005D771F" w:rsidP="005D771F">
            <w:pPr>
              <w:numPr>
                <w:ilvl w:val="0"/>
                <w:numId w:val="2"/>
              </w:numPr>
              <w:autoSpaceDE w:val="0"/>
              <w:autoSpaceDN w:val="0"/>
              <w:adjustRightInd w:val="0"/>
              <w:jc w:val="both"/>
              <w:rPr>
                <w:rFonts w:asciiTheme="minorHAnsi" w:hAnsiTheme="minorHAnsi" w:cs="Calibri"/>
                <w:szCs w:val="24"/>
              </w:rPr>
            </w:pPr>
            <w:r>
              <w:rPr>
                <w:rFonts w:asciiTheme="minorHAnsi" w:hAnsiTheme="minorHAnsi"/>
                <w:szCs w:val="24"/>
              </w:rPr>
              <w:t xml:space="preserve">Are there missing </w:t>
            </w:r>
            <w:proofErr w:type="gramStart"/>
            <w:r>
              <w:rPr>
                <w:rFonts w:asciiTheme="minorHAnsi" w:hAnsiTheme="minorHAnsi"/>
                <w:szCs w:val="24"/>
              </w:rPr>
              <w:t>check</w:t>
            </w:r>
            <w:proofErr w:type="gramEnd"/>
            <w:r>
              <w:rPr>
                <w:rFonts w:asciiTheme="minorHAnsi" w:hAnsiTheme="minorHAnsi"/>
                <w:szCs w:val="24"/>
              </w:rPr>
              <w:t xml:space="preserve"> numbers</w:t>
            </w:r>
            <w:r w:rsidR="00DB7EF9" w:rsidRPr="006B6EDF">
              <w:rPr>
                <w:rFonts w:asciiTheme="minorHAnsi" w:hAnsiTheme="minorHAnsi"/>
                <w:szCs w:val="24"/>
              </w:rPr>
              <w:t xml:space="preserve"> in </w:t>
            </w:r>
            <w:r>
              <w:rPr>
                <w:rFonts w:asciiTheme="minorHAnsi" w:hAnsiTheme="minorHAnsi"/>
                <w:szCs w:val="24"/>
              </w:rPr>
              <w:t xml:space="preserve">the </w:t>
            </w:r>
            <w:r w:rsidR="00DB7EF9" w:rsidRPr="006B6EDF">
              <w:rPr>
                <w:rFonts w:asciiTheme="minorHAnsi" w:hAnsiTheme="minorHAnsi"/>
                <w:szCs w:val="24"/>
              </w:rPr>
              <w:t xml:space="preserve">register, or </w:t>
            </w:r>
            <w:r>
              <w:rPr>
                <w:rFonts w:asciiTheme="minorHAnsi" w:hAnsiTheme="minorHAnsi"/>
                <w:szCs w:val="24"/>
              </w:rPr>
              <w:t>check numbers out of sequence?</w:t>
            </w:r>
          </w:p>
        </w:tc>
        <w:tc>
          <w:tcPr>
            <w:tcW w:w="6480" w:type="dxa"/>
            <w:shd w:val="clear" w:color="auto" w:fill="auto"/>
          </w:tcPr>
          <w:p w:rsidR="00FC6566" w:rsidRPr="00050F41" w:rsidRDefault="004922B3" w:rsidP="004922B3">
            <w:pPr>
              <w:rPr>
                <w:rFonts w:ascii="Calibri" w:hAnsi="Calibri" w:cs="Calibri"/>
              </w:rPr>
            </w:pPr>
            <w:r>
              <w:rPr>
                <w:rFonts w:ascii="Calibri" w:hAnsi="Calibri" w:cs="Calibri"/>
              </w:rPr>
              <w:t>.</w:t>
            </w:r>
          </w:p>
        </w:tc>
      </w:tr>
      <w:tr w:rsidR="00FC6566" w:rsidRPr="00050F41" w:rsidTr="00793160">
        <w:tc>
          <w:tcPr>
            <w:tcW w:w="6480" w:type="dxa"/>
            <w:shd w:val="clear" w:color="auto" w:fill="auto"/>
          </w:tcPr>
          <w:p w:rsidR="00FC6566" w:rsidRPr="006B6EDF" w:rsidRDefault="005D771F" w:rsidP="00D66897">
            <w:pPr>
              <w:numPr>
                <w:ilvl w:val="0"/>
                <w:numId w:val="2"/>
              </w:numPr>
              <w:autoSpaceDE w:val="0"/>
              <w:autoSpaceDN w:val="0"/>
              <w:adjustRightInd w:val="0"/>
              <w:jc w:val="both"/>
              <w:rPr>
                <w:rFonts w:asciiTheme="minorHAnsi" w:hAnsiTheme="minorHAnsi" w:cs="Calibri"/>
                <w:szCs w:val="24"/>
              </w:rPr>
            </w:pPr>
            <w:r>
              <w:rPr>
                <w:rFonts w:asciiTheme="minorHAnsi" w:hAnsiTheme="minorHAnsi"/>
                <w:szCs w:val="24"/>
              </w:rPr>
              <w:t>Are chec</w:t>
            </w:r>
            <w:r w:rsidR="00DB7EF9" w:rsidRPr="006B6EDF">
              <w:rPr>
                <w:rFonts w:asciiTheme="minorHAnsi" w:hAnsiTheme="minorHAnsi"/>
                <w:szCs w:val="24"/>
              </w:rPr>
              <w:t>ks to active clients slow to clear – 3 or more months?</w:t>
            </w:r>
          </w:p>
        </w:tc>
        <w:tc>
          <w:tcPr>
            <w:tcW w:w="6480" w:type="dxa"/>
            <w:shd w:val="clear" w:color="auto" w:fill="auto"/>
          </w:tcPr>
          <w:p w:rsidR="00FC6566" w:rsidRPr="00050F41" w:rsidRDefault="00FC6566" w:rsidP="00362727">
            <w:pPr>
              <w:rPr>
                <w:rFonts w:ascii="Calibri" w:hAnsi="Calibri" w:cs="Calibri"/>
              </w:rPr>
            </w:pPr>
          </w:p>
        </w:tc>
      </w:tr>
      <w:tr w:rsidR="00FC6566" w:rsidRPr="00DB7EF9" w:rsidTr="00362727">
        <w:trPr>
          <w:trHeight w:val="710"/>
        </w:trPr>
        <w:tc>
          <w:tcPr>
            <w:tcW w:w="6480" w:type="dxa"/>
            <w:shd w:val="clear" w:color="auto" w:fill="auto"/>
          </w:tcPr>
          <w:p w:rsidR="00FC6566" w:rsidRPr="006B6EDF" w:rsidRDefault="005D771F" w:rsidP="003C787C">
            <w:pPr>
              <w:numPr>
                <w:ilvl w:val="0"/>
                <w:numId w:val="2"/>
              </w:numPr>
              <w:autoSpaceDE w:val="0"/>
              <w:autoSpaceDN w:val="0"/>
              <w:adjustRightInd w:val="0"/>
              <w:jc w:val="both"/>
              <w:rPr>
                <w:rFonts w:asciiTheme="minorHAnsi" w:hAnsiTheme="minorHAnsi" w:cs="Calibri"/>
                <w:szCs w:val="24"/>
              </w:rPr>
            </w:pPr>
            <w:r>
              <w:rPr>
                <w:rFonts w:asciiTheme="minorHAnsi" w:hAnsiTheme="minorHAnsi"/>
                <w:szCs w:val="24"/>
              </w:rPr>
              <w:t>Is there a r</w:t>
            </w:r>
            <w:r w:rsidR="00DB7EF9" w:rsidRPr="006B6EDF">
              <w:rPr>
                <w:rFonts w:asciiTheme="minorHAnsi" w:hAnsiTheme="minorHAnsi"/>
                <w:szCs w:val="24"/>
              </w:rPr>
              <w:t xml:space="preserve">ecord </w:t>
            </w:r>
            <w:r>
              <w:rPr>
                <w:rFonts w:asciiTheme="minorHAnsi" w:hAnsiTheme="minorHAnsi"/>
                <w:szCs w:val="24"/>
              </w:rPr>
              <w:t xml:space="preserve">of </w:t>
            </w:r>
            <w:r w:rsidR="00DB7EF9" w:rsidRPr="006B6EDF">
              <w:rPr>
                <w:rFonts w:asciiTheme="minorHAnsi" w:hAnsiTheme="minorHAnsi"/>
                <w:szCs w:val="24"/>
              </w:rPr>
              <w:t>any</w:t>
            </w:r>
            <w:r>
              <w:rPr>
                <w:rFonts w:asciiTheme="minorHAnsi" w:hAnsiTheme="minorHAnsi"/>
                <w:szCs w:val="24"/>
              </w:rPr>
              <w:t>/all</w:t>
            </w:r>
            <w:r w:rsidR="00DB7EF9" w:rsidRPr="006B6EDF">
              <w:rPr>
                <w:rFonts w:asciiTheme="minorHAnsi" w:hAnsiTheme="minorHAnsi"/>
                <w:szCs w:val="24"/>
              </w:rPr>
              <w:t xml:space="preserve"> checks that should be submitted to unclaimed Property</w:t>
            </w:r>
            <w:r>
              <w:rPr>
                <w:rFonts w:asciiTheme="minorHAnsi" w:hAnsiTheme="minorHAnsi"/>
                <w:szCs w:val="24"/>
              </w:rPr>
              <w:t xml:space="preserve">?  </w:t>
            </w:r>
          </w:p>
        </w:tc>
        <w:tc>
          <w:tcPr>
            <w:tcW w:w="6480" w:type="dxa"/>
            <w:shd w:val="clear" w:color="auto" w:fill="auto"/>
          </w:tcPr>
          <w:p w:rsidR="00FC6566" w:rsidRPr="00DB7EF9" w:rsidRDefault="00FC6566" w:rsidP="004F7A4A">
            <w:pPr>
              <w:rPr>
                <w:rFonts w:asciiTheme="minorHAnsi" w:hAnsiTheme="minorHAnsi" w:cs="Calibri"/>
              </w:rPr>
            </w:pPr>
          </w:p>
        </w:tc>
      </w:tr>
      <w:tr w:rsidR="003C787C" w:rsidRPr="00DB7EF9" w:rsidTr="00793160">
        <w:tc>
          <w:tcPr>
            <w:tcW w:w="6480" w:type="dxa"/>
            <w:shd w:val="clear" w:color="auto" w:fill="auto"/>
          </w:tcPr>
          <w:p w:rsidR="003C787C" w:rsidRDefault="00362727" w:rsidP="00362727">
            <w:pPr>
              <w:numPr>
                <w:ilvl w:val="0"/>
                <w:numId w:val="2"/>
              </w:numPr>
              <w:autoSpaceDE w:val="0"/>
              <w:autoSpaceDN w:val="0"/>
              <w:adjustRightInd w:val="0"/>
              <w:jc w:val="both"/>
              <w:rPr>
                <w:rFonts w:asciiTheme="minorHAnsi" w:hAnsiTheme="minorHAnsi"/>
                <w:szCs w:val="24"/>
              </w:rPr>
            </w:pPr>
            <w:r>
              <w:rPr>
                <w:rFonts w:ascii="Calibri" w:hAnsi="Calibri" w:cs="Calibri"/>
              </w:rPr>
              <w:t xml:space="preserve">Review and evaluate </w:t>
            </w:r>
            <w:r w:rsidR="003C787C">
              <w:rPr>
                <w:rFonts w:ascii="Calibri" w:hAnsi="Calibri" w:cs="Calibri"/>
              </w:rPr>
              <w:t>licensee</w:t>
            </w:r>
            <w:r>
              <w:rPr>
                <w:rFonts w:ascii="Calibri" w:hAnsi="Calibri" w:cs="Calibri"/>
              </w:rPr>
              <w:t>’s</w:t>
            </w:r>
            <w:r w:rsidR="003C787C">
              <w:rPr>
                <w:rFonts w:ascii="Calibri" w:hAnsi="Calibri" w:cs="Calibri"/>
              </w:rPr>
              <w:t xml:space="preserve"> escheatment</w:t>
            </w:r>
            <w:r>
              <w:rPr>
                <w:rFonts w:ascii="Calibri" w:hAnsi="Calibri" w:cs="Calibri"/>
              </w:rPr>
              <w:t xml:space="preserve"> process.  </w:t>
            </w:r>
          </w:p>
        </w:tc>
        <w:tc>
          <w:tcPr>
            <w:tcW w:w="6480" w:type="dxa"/>
            <w:shd w:val="clear" w:color="auto" w:fill="auto"/>
          </w:tcPr>
          <w:p w:rsidR="003C787C" w:rsidRPr="00DB7EF9" w:rsidRDefault="003C787C" w:rsidP="00FD5C6B">
            <w:pPr>
              <w:rPr>
                <w:rFonts w:asciiTheme="minorHAnsi" w:hAnsiTheme="minorHAnsi" w:cs="Calibri"/>
              </w:rPr>
            </w:pPr>
          </w:p>
        </w:tc>
      </w:tr>
      <w:tr w:rsidR="00FC6566" w:rsidRPr="00DB7EF9" w:rsidTr="00793160">
        <w:tc>
          <w:tcPr>
            <w:tcW w:w="6480" w:type="dxa"/>
            <w:shd w:val="clear" w:color="auto" w:fill="auto"/>
          </w:tcPr>
          <w:p w:rsidR="00FC6566" w:rsidRPr="006B6EDF" w:rsidRDefault="00DB7EF9" w:rsidP="00D66897">
            <w:pPr>
              <w:numPr>
                <w:ilvl w:val="0"/>
                <w:numId w:val="2"/>
              </w:numPr>
              <w:autoSpaceDE w:val="0"/>
              <w:autoSpaceDN w:val="0"/>
              <w:adjustRightInd w:val="0"/>
              <w:jc w:val="both"/>
              <w:rPr>
                <w:rFonts w:asciiTheme="minorHAnsi" w:hAnsiTheme="minorHAnsi" w:cs="Calibri"/>
                <w:szCs w:val="24"/>
              </w:rPr>
            </w:pPr>
            <w:r w:rsidRPr="006B6EDF">
              <w:rPr>
                <w:rFonts w:asciiTheme="minorHAnsi" w:hAnsiTheme="minorHAnsi"/>
                <w:szCs w:val="24"/>
              </w:rPr>
              <w:t>Has the trust account been continuously reconciled and is it current?</w:t>
            </w:r>
          </w:p>
        </w:tc>
        <w:tc>
          <w:tcPr>
            <w:tcW w:w="6480" w:type="dxa"/>
            <w:shd w:val="clear" w:color="auto" w:fill="auto"/>
          </w:tcPr>
          <w:p w:rsidR="00FC6566" w:rsidRPr="00DB7EF9" w:rsidRDefault="00FC6566" w:rsidP="00FD5C6B">
            <w:pPr>
              <w:rPr>
                <w:rFonts w:asciiTheme="minorHAnsi" w:hAnsiTheme="minorHAnsi" w:cs="Calibri"/>
              </w:rPr>
            </w:pPr>
          </w:p>
        </w:tc>
      </w:tr>
      <w:tr w:rsidR="00DB7EF9" w:rsidRPr="00DB7EF9" w:rsidTr="00793160">
        <w:tc>
          <w:tcPr>
            <w:tcW w:w="6480" w:type="dxa"/>
            <w:shd w:val="clear" w:color="auto" w:fill="auto"/>
          </w:tcPr>
          <w:p w:rsidR="00DB7EF9" w:rsidRPr="006B6EDF" w:rsidRDefault="00DB7EF9" w:rsidP="00D66897">
            <w:pPr>
              <w:numPr>
                <w:ilvl w:val="0"/>
                <w:numId w:val="2"/>
              </w:numPr>
              <w:autoSpaceDE w:val="0"/>
              <w:autoSpaceDN w:val="0"/>
              <w:adjustRightInd w:val="0"/>
              <w:jc w:val="both"/>
              <w:rPr>
                <w:rFonts w:asciiTheme="minorHAnsi" w:hAnsiTheme="minorHAnsi" w:cs="Calibri"/>
                <w:szCs w:val="24"/>
              </w:rPr>
            </w:pPr>
            <w:r w:rsidRPr="006B6EDF">
              <w:rPr>
                <w:rFonts w:asciiTheme="minorHAnsi" w:hAnsiTheme="minorHAnsi"/>
                <w:szCs w:val="24"/>
              </w:rPr>
              <w:t>Does the trust account internal ledger shown any negative balances?</w:t>
            </w:r>
            <w:r w:rsidR="005D771F">
              <w:rPr>
                <w:rFonts w:asciiTheme="minorHAnsi" w:hAnsiTheme="minorHAnsi"/>
                <w:szCs w:val="24"/>
              </w:rPr>
              <w:t xml:space="preserve">  If yes, an explanation by management will be required. </w:t>
            </w:r>
          </w:p>
        </w:tc>
        <w:tc>
          <w:tcPr>
            <w:tcW w:w="6480" w:type="dxa"/>
            <w:shd w:val="clear" w:color="auto" w:fill="auto"/>
          </w:tcPr>
          <w:p w:rsidR="00DB7EF9" w:rsidRPr="00DB7EF9" w:rsidRDefault="00DB7EF9" w:rsidP="004922B3">
            <w:pPr>
              <w:rPr>
                <w:rFonts w:asciiTheme="minorHAnsi" w:hAnsiTheme="minorHAnsi" w:cs="Calibri"/>
              </w:rPr>
            </w:pPr>
          </w:p>
        </w:tc>
      </w:tr>
      <w:tr w:rsidR="00DB7EF9" w:rsidRPr="00DB7EF9" w:rsidTr="00793160">
        <w:tc>
          <w:tcPr>
            <w:tcW w:w="6480" w:type="dxa"/>
            <w:shd w:val="clear" w:color="auto" w:fill="auto"/>
          </w:tcPr>
          <w:p w:rsidR="006A67E2" w:rsidRPr="006A67E2" w:rsidRDefault="005D771F" w:rsidP="006A67E2">
            <w:pPr>
              <w:numPr>
                <w:ilvl w:val="0"/>
                <w:numId w:val="2"/>
              </w:numPr>
              <w:autoSpaceDE w:val="0"/>
              <w:autoSpaceDN w:val="0"/>
              <w:adjustRightInd w:val="0"/>
              <w:jc w:val="both"/>
              <w:rPr>
                <w:rFonts w:asciiTheme="minorHAnsi" w:hAnsiTheme="minorHAnsi" w:cs="Calibri"/>
              </w:rPr>
            </w:pPr>
            <w:r>
              <w:rPr>
                <w:rFonts w:asciiTheme="minorHAnsi" w:hAnsiTheme="minorHAnsi" w:cs="Calibri"/>
              </w:rPr>
              <w:lastRenderedPageBreak/>
              <w:t>Is there a</w:t>
            </w:r>
            <w:r w:rsidR="00DB7EF9" w:rsidRPr="00DB7EF9">
              <w:rPr>
                <w:rFonts w:asciiTheme="minorHAnsi" w:hAnsiTheme="minorHAnsi" w:cs="Calibri"/>
              </w:rPr>
              <w:t>ny evidence of withdrawals from the trust account other than client payments, transfers to the operating account, or account maintenance charges?</w:t>
            </w:r>
            <w:r>
              <w:rPr>
                <w:rFonts w:asciiTheme="minorHAnsi" w:hAnsiTheme="minorHAnsi" w:cs="Calibri"/>
              </w:rPr>
              <w:t xml:space="preserve">  If so, describe.</w:t>
            </w:r>
            <w:r w:rsidR="006A67E2">
              <w:rPr>
                <w:rFonts w:asciiTheme="minorHAnsi" w:hAnsiTheme="minorHAnsi" w:cs="Calibri"/>
              </w:rPr>
              <w:t xml:space="preserve">  (</w:t>
            </w:r>
            <w:r w:rsidR="006A67E2" w:rsidRPr="006A67E2">
              <w:rPr>
                <w:rFonts w:asciiTheme="minorHAnsi" w:hAnsiTheme="minorHAnsi" w:cs="Calibri"/>
                <w:sz w:val="18"/>
                <w:szCs w:val="18"/>
              </w:rPr>
              <w:t>Any transfers to the operating account should be for the licensee’s portion of fees/income only.</w:t>
            </w:r>
            <w:r w:rsidR="006A67E2">
              <w:rPr>
                <w:rFonts w:asciiTheme="minorHAnsi" w:hAnsiTheme="minorHAnsi" w:cs="Calibri"/>
                <w:sz w:val="18"/>
                <w:szCs w:val="18"/>
              </w:rPr>
              <w:t>)</w:t>
            </w:r>
          </w:p>
        </w:tc>
        <w:tc>
          <w:tcPr>
            <w:tcW w:w="6480" w:type="dxa"/>
            <w:shd w:val="clear" w:color="auto" w:fill="auto"/>
          </w:tcPr>
          <w:p w:rsidR="00DB7EF9" w:rsidRPr="00DB7EF9" w:rsidRDefault="00DB7EF9" w:rsidP="00FD5C6B">
            <w:pPr>
              <w:rPr>
                <w:rFonts w:asciiTheme="minorHAnsi" w:hAnsiTheme="minorHAnsi" w:cs="Calibri"/>
              </w:rPr>
            </w:pPr>
          </w:p>
        </w:tc>
      </w:tr>
      <w:tr w:rsidR="002E216F" w:rsidRPr="00DB7EF9" w:rsidTr="00793160">
        <w:tc>
          <w:tcPr>
            <w:tcW w:w="6480" w:type="dxa"/>
            <w:shd w:val="clear" w:color="auto" w:fill="auto"/>
          </w:tcPr>
          <w:p w:rsidR="002E216F" w:rsidRDefault="002E216F" w:rsidP="006A67E2">
            <w:pPr>
              <w:numPr>
                <w:ilvl w:val="0"/>
                <w:numId w:val="2"/>
              </w:numPr>
              <w:autoSpaceDE w:val="0"/>
              <w:autoSpaceDN w:val="0"/>
              <w:adjustRightInd w:val="0"/>
              <w:jc w:val="both"/>
              <w:rPr>
                <w:rFonts w:asciiTheme="minorHAnsi" w:hAnsiTheme="minorHAnsi" w:cs="Calibri"/>
              </w:rPr>
            </w:pPr>
            <w:r>
              <w:rPr>
                <w:rFonts w:asciiTheme="minorHAnsi" w:hAnsiTheme="minorHAnsi" w:cs="Calibri"/>
              </w:rPr>
              <w:t>Are the beginning and ending balances sufficient to pay clients?</w:t>
            </w:r>
          </w:p>
        </w:tc>
        <w:tc>
          <w:tcPr>
            <w:tcW w:w="6480" w:type="dxa"/>
            <w:shd w:val="clear" w:color="auto" w:fill="auto"/>
          </w:tcPr>
          <w:p w:rsidR="002E216F" w:rsidRPr="00DB7EF9" w:rsidRDefault="002E216F" w:rsidP="00FD5C6B">
            <w:pPr>
              <w:rPr>
                <w:rFonts w:asciiTheme="minorHAnsi" w:hAnsiTheme="minorHAnsi" w:cs="Calibri"/>
              </w:rPr>
            </w:pPr>
          </w:p>
        </w:tc>
      </w:tr>
      <w:tr w:rsidR="003C787C" w:rsidRPr="00DB7EF9" w:rsidTr="00793160">
        <w:tc>
          <w:tcPr>
            <w:tcW w:w="6480" w:type="dxa"/>
            <w:shd w:val="clear" w:color="auto" w:fill="auto"/>
          </w:tcPr>
          <w:p w:rsidR="003C787C" w:rsidRDefault="003C787C" w:rsidP="00D66897">
            <w:pPr>
              <w:numPr>
                <w:ilvl w:val="0"/>
                <w:numId w:val="2"/>
              </w:numPr>
              <w:autoSpaceDE w:val="0"/>
              <w:autoSpaceDN w:val="0"/>
              <w:adjustRightInd w:val="0"/>
              <w:jc w:val="both"/>
              <w:rPr>
                <w:rFonts w:asciiTheme="minorHAnsi" w:hAnsiTheme="minorHAnsi" w:cs="Calibri"/>
              </w:rPr>
            </w:pPr>
            <w:r>
              <w:rPr>
                <w:rFonts w:ascii="Calibri" w:hAnsi="Calibri" w:cs="Calibri"/>
              </w:rPr>
              <w:t>Is there evidence of commingling?</w:t>
            </w:r>
          </w:p>
        </w:tc>
        <w:tc>
          <w:tcPr>
            <w:tcW w:w="6480" w:type="dxa"/>
            <w:shd w:val="clear" w:color="auto" w:fill="auto"/>
          </w:tcPr>
          <w:p w:rsidR="003C787C" w:rsidRPr="00DB7EF9" w:rsidRDefault="003C787C" w:rsidP="00FD5C6B">
            <w:pPr>
              <w:rPr>
                <w:rFonts w:asciiTheme="minorHAnsi" w:hAnsiTheme="minorHAnsi" w:cs="Calibri"/>
              </w:rPr>
            </w:pPr>
          </w:p>
        </w:tc>
      </w:tr>
      <w:tr w:rsidR="00DB7EF9" w:rsidRPr="00DB7EF9" w:rsidTr="00793160">
        <w:tc>
          <w:tcPr>
            <w:tcW w:w="6480" w:type="dxa"/>
            <w:shd w:val="clear" w:color="auto" w:fill="auto"/>
          </w:tcPr>
          <w:p w:rsidR="00DB7EF9" w:rsidRPr="00DB7EF9" w:rsidRDefault="00101502" w:rsidP="00D66897">
            <w:pPr>
              <w:numPr>
                <w:ilvl w:val="0"/>
                <w:numId w:val="2"/>
              </w:numPr>
              <w:autoSpaceDE w:val="0"/>
              <w:autoSpaceDN w:val="0"/>
              <w:adjustRightInd w:val="0"/>
              <w:jc w:val="both"/>
              <w:rPr>
                <w:rFonts w:asciiTheme="minorHAnsi" w:hAnsiTheme="minorHAnsi" w:cs="Calibri"/>
              </w:rPr>
            </w:pPr>
            <w:r w:rsidRPr="00101502">
              <w:rPr>
                <w:rFonts w:asciiTheme="minorHAnsi" w:hAnsiTheme="minorHAnsi" w:cs="Calibri"/>
              </w:rPr>
              <w:t>Are records retained for the required period per state statues?</w:t>
            </w:r>
            <w:r>
              <w:rPr>
                <w:rFonts w:asciiTheme="minorHAnsi" w:hAnsiTheme="minorHAnsi" w:cs="Calibri"/>
              </w:rPr>
              <w:t xml:space="preserve"> </w:t>
            </w:r>
          </w:p>
        </w:tc>
        <w:tc>
          <w:tcPr>
            <w:tcW w:w="6480" w:type="dxa"/>
            <w:shd w:val="clear" w:color="auto" w:fill="auto"/>
          </w:tcPr>
          <w:p w:rsidR="00DB7EF9" w:rsidRPr="00DB7EF9" w:rsidRDefault="00DB7EF9" w:rsidP="00FD5C6B">
            <w:pPr>
              <w:rPr>
                <w:rFonts w:asciiTheme="minorHAnsi" w:hAnsiTheme="minorHAnsi" w:cs="Calibri"/>
              </w:rPr>
            </w:pPr>
          </w:p>
        </w:tc>
      </w:tr>
    </w:tbl>
    <w:p w:rsidR="000E4197" w:rsidRPr="00050F41" w:rsidRDefault="000E4197">
      <w:pPr>
        <w:rPr>
          <w:rFonts w:ascii="Calibri" w:hAnsi="Calibri" w:cs="Calibri"/>
          <w:sz w:val="2"/>
        </w:rPr>
      </w:pPr>
    </w:p>
    <w:p w:rsidR="003446EE" w:rsidRDefault="003446EE" w:rsidP="003446E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0"/>
      </w:tblGrid>
      <w:tr w:rsidR="003446EE" w:rsidRPr="00880078" w:rsidTr="00346A3F">
        <w:tc>
          <w:tcPr>
            <w:tcW w:w="12960" w:type="dxa"/>
            <w:shd w:val="clear" w:color="auto" w:fill="auto"/>
          </w:tcPr>
          <w:p w:rsidR="003446EE" w:rsidRDefault="003446EE" w:rsidP="003446EE">
            <w:pPr>
              <w:rPr>
                <w:rFonts w:ascii="Calibri" w:hAnsi="Calibri" w:cs="Calibri"/>
                <w:b/>
              </w:rPr>
            </w:pPr>
            <w:r>
              <w:rPr>
                <w:rFonts w:ascii="Calibri" w:hAnsi="Calibri" w:cs="Calibri"/>
                <w:b/>
              </w:rPr>
              <w:t xml:space="preserve">Identify </w:t>
            </w:r>
            <w:r w:rsidRPr="004922B3">
              <w:rPr>
                <w:rFonts w:ascii="Calibri" w:hAnsi="Calibri" w:cs="Calibri"/>
                <w:b/>
              </w:rPr>
              <w:t>Trust Account</w:t>
            </w:r>
            <w:r>
              <w:rPr>
                <w:rFonts w:ascii="Calibri" w:hAnsi="Calibri" w:cs="Calibri"/>
                <w:b/>
              </w:rPr>
              <w:t xml:space="preserve"> Concerns:</w:t>
            </w:r>
          </w:p>
          <w:p w:rsidR="003446EE" w:rsidRDefault="003446EE" w:rsidP="003446EE">
            <w:pPr>
              <w:rPr>
                <w:rFonts w:ascii="Calibri" w:hAnsi="Calibri" w:cs="Calibri"/>
                <w:b/>
              </w:rPr>
            </w:pPr>
          </w:p>
          <w:p w:rsidR="003446EE" w:rsidRPr="004922B3" w:rsidRDefault="003446EE" w:rsidP="003446EE">
            <w:pPr>
              <w:rPr>
                <w:rFonts w:ascii="Calibri" w:hAnsi="Calibri" w:cs="Calibri"/>
                <w:b/>
              </w:rPr>
            </w:pPr>
          </w:p>
          <w:p w:rsidR="003446EE" w:rsidRPr="00880078" w:rsidRDefault="003446EE" w:rsidP="00346A3F">
            <w:pPr>
              <w:rPr>
                <w:rFonts w:ascii="Calibri" w:hAnsi="Calibri" w:cs="Calibri"/>
              </w:rPr>
            </w:pPr>
          </w:p>
        </w:tc>
      </w:tr>
    </w:tbl>
    <w:p w:rsidR="004F7A4A" w:rsidRDefault="004F7A4A" w:rsidP="004F30BA">
      <w:pPr>
        <w:rPr>
          <w:rFonts w:ascii="Calibri" w:hAnsi="Calibri" w:cs="Calibri"/>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362727" w:rsidRPr="00050F41" w:rsidTr="00362727">
        <w:tc>
          <w:tcPr>
            <w:tcW w:w="12960" w:type="dxa"/>
            <w:gridSpan w:val="2"/>
            <w:tcBorders>
              <w:top w:val="single" w:sz="4" w:space="0" w:color="auto"/>
              <w:left w:val="single" w:sz="4" w:space="0" w:color="auto"/>
              <w:bottom w:val="single" w:sz="4" w:space="0" w:color="auto"/>
              <w:right w:val="single" w:sz="4" w:space="0" w:color="auto"/>
            </w:tcBorders>
            <w:shd w:val="clear" w:color="auto" w:fill="D9D9D9"/>
          </w:tcPr>
          <w:p w:rsidR="00362727" w:rsidRPr="00624434" w:rsidRDefault="00362727" w:rsidP="00362727">
            <w:pPr>
              <w:pStyle w:val="Heading1"/>
              <w:numPr>
                <w:ilvl w:val="0"/>
                <w:numId w:val="0"/>
              </w:numPr>
              <w:ind w:left="720"/>
              <w:rPr>
                <w:rFonts w:cs="Calibri"/>
              </w:rPr>
            </w:pPr>
            <w:r>
              <w:rPr>
                <w:rFonts w:cs="Calibri"/>
              </w:rPr>
              <w:t>Trust Account</w:t>
            </w:r>
          </w:p>
        </w:tc>
      </w:tr>
      <w:tr w:rsidR="00362727" w:rsidRPr="00050F41" w:rsidTr="00362727">
        <w:tc>
          <w:tcPr>
            <w:tcW w:w="12960" w:type="dxa"/>
            <w:gridSpan w:val="2"/>
            <w:shd w:val="clear" w:color="auto" w:fill="D9D9D9"/>
          </w:tcPr>
          <w:p w:rsidR="00362727" w:rsidRPr="00624434" w:rsidRDefault="00362727" w:rsidP="00362727">
            <w:pPr>
              <w:pStyle w:val="Heading1"/>
              <w:numPr>
                <w:ilvl w:val="0"/>
                <w:numId w:val="33"/>
              </w:numPr>
              <w:ind w:hanging="720"/>
              <w:rPr>
                <w:rFonts w:ascii="Calibri" w:hAnsi="Calibri" w:cs="Calibri"/>
                <w:iCs/>
              </w:rPr>
            </w:pPr>
            <w:r>
              <w:rPr>
                <w:rFonts w:ascii="Calibri" w:hAnsi="Calibri" w:cs="Calibri"/>
              </w:rPr>
              <w:t xml:space="preserve">State specific subset </w:t>
            </w:r>
          </w:p>
        </w:tc>
      </w:tr>
      <w:tr w:rsidR="00362727" w:rsidRPr="00050F41" w:rsidTr="00362727">
        <w:tc>
          <w:tcPr>
            <w:tcW w:w="6480" w:type="dxa"/>
            <w:shd w:val="clear" w:color="auto" w:fill="D9D9D9"/>
          </w:tcPr>
          <w:p w:rsidR="00362727" w:rsidRPr="00050F41" w:rsidRDefault="00362727" w:rsidP="00362727">
            <w:pPr>
              <w:autoSpaceDE w:val="0"/>
              <w:autoSpaceDN w:val="0"/>
              <w:adjustRightInd w:val="0"/>
              <w:rPr>
                <w:rFonts w:ascii="Calibri" w:hAnsi="Calibri" w:cs="Calibri"/>
                <w:b/>
                <w:bCs/>
                <w:i/>
                <w:sz w:val="20"/>
              </w:rPr>
            </w:pPr>
            <w:r w:rsidRPr="00050F41">
              <w:rPr>
                <w:rFonts w:ascii="Calibri" w:hAnsi="Calibri" w:cs="Calibri"/>
                <w:b/>
                <w:bCs/>
                <w:i/>
                <w:sz w:val="20"/>
              </w:rPr>
              <w:t xml:space="preserve">To determine </w:t>
            </w:r>
            <w:r>
              <w:rPr>
                <w:rFonts w:ascii="Calibri" w:hAnsi="Calibri" w:cs="Calibri"/>
                <w:b/>
                <w:bCs/>
                <w:i/>
                <w:sz w:val="20"/>
              </w:rPr>
              <w:t>compliance with state specific requirements relating to the trust account.</w:t>
            </w:r>
          </w:p>
        </w:tc>
        <w:tc>
          <w:tcPr>
            <w:tcW w:w="6480" w:type="dxa"/>
            <w:shd w:val="clear" w:color="auto" w:fill="D9D9D9"/>
          </w:tcPr>
          <w:p w:rsidR="00362727" w:rsidRPr="00050F41" w:rsidRDefault="00362727" w:rsidP="00362727">
            <w:pPr>
              <w:autoSpaceDE w:val="0"/>
              <w:autoSpaceDN w:val="0"/>
              <w:adjustRightInd w:val="0"/>
              <w:jc w:val="center"/>
              <w:rPr>
                <w:rFonts w:ascii="Calibri" w:hAnsi="Calibri" w:cs="Calibri"/>
                <w:b/>
                <w:bCs/>
                <w:i/>
                <w:sz w:val="20"/>
              </w:rPr>
            </w:pPr>
            <w:r w:rsidRPr="00050F41">
              <w:rPr>
                <w:rFonts w:ascii="Calibri" w:hAnsi="Calibri" w:cs="Calibri"/>
                <w:b/>
                <w:bCs/>
                <w:i/>
                <w:sz w:val="20"/>
              </w:rPr>
              <w:t>Comments</w:t>
            </w:r>
          </w:p>
        </w:tc>
      </w:tr>
      <w:tr w:rsidR="00362727" w:rsidRPr="00050F41" w:rsidTr="00362727">
        <w:tc>
          <w:tcPr>
            <w:tcW w:w="6480" w:type="dxa"/>
            <w:shd w:val="clear" w:color="auto" w:fill="auto"/>
          </w:tcPr>
          <w:p w:rsidR="00362727" w:rsidRPr="00362727" w:rsidRDefault="00362727" w:rsidP="00362727">
            <w:pPr>
              <w:pStyle w:val="Heading1"/>
              <w:numPr>
                <w:ilvl w:val="0"/>
                <w:numId w:val="34"/>
              </w:numPr>
              <w:ind w:left="342" w:hanging="342"/>
              <w:jc w:val="both"/>
            </w:pPr>
            <w:r w:rsidRPr="00362727">
              <w:rPr>
                <w:rFonts w:asciiTheme="minorHAnsi" w:hAnsiTheme="minorHAnsi" w:cs="Calibri"/>
                <w:b w:val="0"/>
                <w:bCs w:val="0"/>
                <w:iCs/>
              </w:rPr>
              <w:t xml:space="preserve">Arizona </w:t>
            </w:r>
          </w:p>
        </w:tc>
        <w:tc>
          <w:tcPr>
            <w:tcW w:w="6480" w:type="dxa"/>
            <w:shd w:val="clear" w:color="auto" w:fill="auto"/>
          </w:tcPr>
          <w:p w:rsidR="00362727" w:rsidRPr="00050F41" w:rsidRDefault="00362727" w:rsidP="00362727">
            <w:pPr>
              <w:rPr>
                <w:rFonts w:ascii="Calibri" w:hAnsi="Calibri" w:cs="Calibri"/>
              </w:rPr>
            </w:pPr>
          </w:p>
        </w:tc>
      </w:tr>
      <w:tr w:rsidR="00362727" w:rsidRPr="00050F41" w:rsidTr="00362727">
        <w:tc>
          <w:tcPr>
            <w:tcW w:w="6480" w:type="dxa"/>
            <w:shd w:val="clear" w:color="auto" w:fill="auto"/>
          </w:tcPr>
          <w:p w:rsidR="00362727" w:rsidRDefault="00362727" w:rsidP="00362727">
            <w:pPr>
              <w:pStyle w:val="Heading1"/>
              <w:numPr>
                <w:ilvl w:val="0"/>
                <w:numId w:val="34"/>
              </w:numPr>
              <w:ind w:left="342" w:hanging="342"/>
              <w:jc w:val="both"/>
              <w:rPr>
                <w:rFonts w:asciiTheme="minorHAnsi" w:hAnsiTheme="minorHAnsi" w:cs="Calibri"/>
                <w:b w:val="0"/>
                <w:bCs w:val="0"/>
                <w:iCs/>
              </w:rPr>
            </w:pPr>
            <w:r w:rsidRPr="00362727">
              <w:rPr>
                <w:rFonts w:asciiTheme="minorHAnsi" w:hAnsiTheme="minorHAnsi" w:cs="Calibri"/>
                <w:b w:val="0"/>
                <w:bCs w:val="0"/>
                <w:iCs/>
              </w:rPr>
              <w:t xml:space="preserve">Connecticut </w:t>
            </w:r>
          </w:p>
          <w:p w:rsidR="00362727" w:rsidRPr="00362727" w:rsidRDefault="00362727" w:rsidP="00362727">
            <w:pPr>
              <w:pStyle w:val="ListParagraph"/>
              <w:numPr>
                <w:ilvl w:val="0"/>
                <w:numId w:val="46"/>
              </w:numPr>
              <w:rPr>
                <w:rFonts w:asciiTheme="minorHAnsi" w:hAnsiTheme="minorHAnsi"/>
              </w:rPr>
            </w:pPr>
            <w:r w:rsidRPr="00362727">
              <w:rPr>
                <w:rFonts w:asciiTheme="minorHAnsi" w:hAnsiTheme="minorHAnsi"/>
              </w:rPr>
              <w:t>Trust account must be maintained in a bank that has a branch located in the state.</w:t>
            </w:r>
          </w:p>
          <w:p w:rsidR="00362727" w:rsidRPr="00362727" w:rsidRDefault="00362727" w:rsidP="00362727">
            <w:pPr>
              <w:pStyle w:val="ListParagraph"/>
              <w:numPr>
                <w:ilvl w:val="0"/>
                <w:numId w:val="46"/>
              </w:numPr>
              <w:rPr>
                <w:rFonts w:asciiTheme="minorHAnsi" w:hAnsiTheme="minorHAnsi"/>
              </w:rPr>
            </w:pPr>
            <w:r w:rsidRPr="00362727">
              <w:rPr>
                <w:rFonts w:asciiTheme="minorHAnsi" w:hAnsiTheme="minorHAnsi"/>
              </w:rPr>
              <w:t>Reconciled monthly.</w:t>
            </w:r>
          </w:p>
          <w:p w:rsidR="00362727" w:rsidRPr="00362727" w:rsidRDefault="00362727" w:rsidP="00362727">
            <w:pPr>
              <w:pStyle w:val="ListParagraph"/>
              <w:numPr>
                <w:ilvl w:val="0"/>
                <w:numId w:val="46"/>
              </w:numPr>
              <w:rPr>
                <w:rFonts w:asciiTheme="minorHAnsi" w:hAnsiTheme="minorHAnsi"/>
              </w:rPr>
            </w:pPr>
            <w:r w:rsidRPr="00362727">
              <w:rPr>
                <w:rFonts w:asciiTheme="minorHAnsi" w:hAnsiTheme="minorHAnsi"/>
              </w:rPr>
              <w:t xml:space="preserve">Any withdrawal for service charges or fees must be reimbursed to trust account not more than 30 days after </w:t>
            </w:r>
            <w:r w:rsidRPr="00362727">
              <w:rPr>
                <w:rFonts w:asciiTheme="minorHAnsi" w:hAnsiTheme="minorHAnsi"/>
              </w:rPr>
              <w:lastRenderedPageBreak/>
              <w:t>withdrawal.</w:t>
            </w:r>
          </w:p>
        </w:tc>
        <w:tc>
          <w:tcPr>
            <w:tcW w:w="6480" w:type="dxa"/>
            <w:shd w:val="clear" w:color="auto" w:fill="auto"/>
          </w:tcPr>
          <w:p w:rsidR="00362727" w:rsidRDefault="00362727" w:rsidP="00362727">
            <w:pPr>
              <w:pStyle w:val="ListParagraph"/>
              <w:rPr>
                <w:rFonts w:ascii="Calibri" w:hAnsi="Calibri" w:cs="Calibri"/>
              </w:rPr>
            </w:pPr>
          </w:p>
          <w:p w:rsidR="00362727" w:rsidRPr="00362727" w:rsidRDefault="00362727" w:rsidP="00362727">
            <w:pPr>
              <w:rPr>
                <w:rFonts w:ascii="Calibri" w:hAnsi="Calibri" w:cs="Calibri"/>
              </w:rPr>
            </w:pPr>
          </w:p>
        </w:tc>
      </w:tr>
      <w:tr w:rsidR="00362727" w:rsidRPr="00050F41" w:rsidTr="00362727">
        <w:tc>
          <w:tcPr>
            <w:tcW w:w="6480" w:type="dxa"/>
            <w:shd w:val="clear" w:color="auto" w:fill="auto"/>
          </w:tcPr>
          <w:p w:rsidR="00362727" w:rsidRPr="00362727" w:rsidRDefault="00362727" w:rsidP="00362727">
            <w:pPr>
              <w:pStyle w:val="Heading1"/>
              <w:numPr>
                <w:ilvl w:val="0"/>
                <w:numId w:val="34"/>
              </w:numPr>
              <w:ind w:left="342" w:hanging="342"/>
              <w:jc w:val="both"/>
            </w:pPr>
            <w:r w:rsidRPr="00362727">
              <w:rPr>
                <w:rFonts w:asciiTheme="minorHAnsi" w:hAnsiTheme="minorHAnsi" w:cs="Calibri"/>
                <w:b w:val="0"/>
                <w:bCs w:val="0"/>
                <w:iCs/>
              </w:rPr>
              <w:lastRenderedPageBreak/>
              <w:t xml:space="preserve">Idaho </w:t>
            </w:r>
          </w:p>
        </w:tc>
        <w:tc>
          <w:tcPr>
            <w:tcW w:w="6480" w:type="dxa"/>
            <w:shd w:val="clear" w:color="auto" w:fill="auto"/>
          </w:tcPr>
          <w:p w:rsidR="00362727" w:rsidRPr="0047571A" w:rsidRDefault="00362727" w:rsidP="00362727">
            <w:pPr>
              <w:rPr>
                <w:rFonts w:ascii="Calibri" w:hAnsi="Calibri" w:cs="Calibri"/>
              </w:rPr>
            </w:pPr>
            <w:r>
              <w:rPr>
                <w:rFonts w:ascii="Calibri" w:hAnsi="Calibri" w:cs="Calibri"/>
              </w:rPr>
              <w:t>NA</w:t>
            </w:r>
          </w:p>
        </w:tc>
      </w:tr>
      <w:tr w:rsidR="00362727" w:rsidRPr="00050F41" w:rsidTr="00362727">
        <w:tc>
          <w:tcPr>
            <w:tcW w:w="6480" w:type="dxa"/>
            <w:shd w:val="clear" w:color="auto" w:fill="auto"/>
          </w:tcPr>
          <w:p w:rsidR="00362727" w:rsidRPr="00362727" w:rsidRDefault="00362727" w:rsidP="00362727">
            <w:pPr>
              <w:pStyle w:val="Heading1"/>
              <w:numPr>
                <w:ilvl w:val="0"/>
                <w:numId w:val="34"/>
              </w:numPr>
              <w:ind w:left="342" w:hanging="342"/>
              <w:jc w:val="both"/>
              <w:rPr>
                <w:rFonts w:asciiTheme="minorHAnsi" w:hAnsiTheme="minorHAnsi" w:cs="Calibri"/>
                <w:b w:val="0"/>
                <w:bCs w:val="0"/>
                <w:iCs/>
              </w:rPr>
            </w:pPr>
            <w:r w:rsidRPr="00362727">
              <w:rPr>
                <w:rFonts w:asciiTheme="minorHAnsi" w:hAnsiTheme="minorHAnsi" w:cs="Calibri"/>
                <w:b w:val="0"/>
                <w:bCs w:val="0"/>
                <w:iCs/>
              </w:rPr>
              <w:t>North Dakota</w:t>
            </w:r>
          </w:p>
          <w:p w:rsidR="00362727" w:rsidRPr="00362727" w:rsidRDefault="00362727" w:rsidP="00362727">
            <w:pPr>
              <w:pStyle w:val="PlainText"/>
              <w:numPr>
                <w:ilvl w:val="0"/>
                <w:numId w:val="47"/>
              </w:numPr>
              <w:rPr>
                <w:rFonts w:asciiTheme="minorHAnsi" w:hAnsiTheme="minorHAnsi"/>
              </w:rPr>
            </w:pPr>
            <w:r w:rsidRPr="00362727">
              <w:rPr>
                <w:rFonts w:asciiTheme="minorHAnsi" w:hAnsiTheme="minorHAnsi"/>
              </w:rPr>
              <w:t xml:space="preserve">13-04-02-11. </w:t>
            </w:r>
            <w:proofErr w:type="gramStart"/>
            <w:r w:rsidRPr="00362727">
              <w:rPr>
                <w:rFonts w:asciiTheme="minorHAnsi" w:hAnsiTheme="minorHAnsi"/>
              </w:rPr>
              <w:t>The</w:t>
            </w:r>
            <w:proofErr w:type="gramEnd"/>
            <w:r w:rsidRPr="00362727">
              <w:rPr>
                <w:rFonts w:asciiTheme="minorHAnsi" w:hAnsiTheme="minorHAnsi"/>
              </w:rPr>
              <w:t xml:space="preserve"> client's share of collections must be deposited into a trust account in a financial institution insured by a federal agency within forty-eight hours.</w:t>
            </w:r>
          </w:p>
          <w:p w:rsidR="00362727" w:rsidRPr="00362727" w:rsidRDefault="00362727" w:rsidP="00362727">
            <w:pPr>
              <w:rPr>
                <w:rFonts w:asciiTheme="minorHAnsi" w:hAnsiTheme="minorHAnsi"/>
              </w:rPr>
            </w:pPr>
          </w:p>
        </w:tc>
        <w:tc>
          <w:tcPr>
            <w:tcW w:w="6480" w:type="dxa"/>
            <w:shd w:val="clear" w:color="auto" w:fill="auto"/>
          </w:tcPr>
          <w:p w:rsidR="00362727" w:rsidRDefault="00362727" w:rsidP="00362727">
            <w:pPr>
              <w:pStyle w:val="ListParagraph"/>
              <w:rPr>
                <w:rFonts w:ascii="Calibri" w:hAnsi="Calibri" w:cs="Calibri"/>
              </w:rPr>
            </w:pPr>
          </w:p>
          <w:p w:rsidR="00362727" w:rsidRPr="00362727" w:rsidRDefault="00362727" w:rsidP="00362727">
            <w:pPr>
              <w:rPr>
                <w:rFonts w:ascii="Calibri" w:hAnsi="Calibri" w:cs="Calibri"/>
              </w:rPr>
            </w:pPr>
          </w:p>
          <w:p w:rsidR="00362727" w:rsidRPr="004F7A4A" w:rsidRDefault="00362727" w:rsidP="00362727">
            <w:pPr>
              <w:pStyle w:val="ListParagraph"/>
              <w:rPr>
                <w:rFonts w:ascii="Calibri" w:hAnsi="Calibri" w:cs="Calibri"/>
              </w:rPr>
            </w:pPr>
          </w:p>
        </w:tc>
      </w:tr>
      <w:tr w:rsidR="00362727" w:rsidRPr="00050F41" w:rsidTr="00362727">
        <w:tc>
          <w:tcPr>
            <w:tcW w:w="6480" w:type="dxa"/>
            <w:shd w:val="clear" w:color="auto" w:fill="auto"/>
          </w:tcPr>
          <w:p w:rsidR="00362727" w:rsidRPr="00362727" w:rsidRDefault="00362727" w:rsidP="00362727">
            <w:pPr>
              <w:pStyle w:val="Heading1"/>
              <w:numPr>
                <w:ilvl w:val="0"/>
                <w:numId w:val="34"/>
              </w:numPr>
              <w:ind w:left="342" w:hanging="342"/>
              <w:jc w:val="both"/>
              <w:rPr>
                <w:rFonts w:asciiTheme="minorHAnsi" w:hAnsiTheme="minorHAnsi" w:cs="Calibri"/>
                <w:b w:val="0"/>
                <w:bCs w:val="0"/>
                <w:iCs/>
              </w:rPr>
            </w:pPr>
            <w:r w:rsidRPr="00362727">
              <w:rPr>
                <w:rFonts w:asciiTheme="minorHAnsi" w:hAnsiTheme="minorHAnsi" w:cs="Calibri"/>
                <w:b w:val="0"/>
                <w:bCs w:val="0"/>
                <w:iCs/>
              </w:rPr>
              <w:t>Wisconsin</w:t>
            </w:r>
          </w:p>
          <w:p w:rsidR="00362727" w:rsidRPr="00362727" w:rsidRDefault="00362727" w:rsidP="00362727">
            <w:pPr>
              <w:pStyle w:val="ListParagraph"/>
              <w:numPr>
                <w:ilvl w:val="0"/>
                <w:numId w:val="43"/>
              </w:numPr>
              <w:jc w:val="both"/>
              <w:rPr>
                <w:rFonts w:asciiTheme="minorHAnsi" w:hAnsiTheme="minorHAnsi"/>
              </w:rPr>
            </w:pPr>
            <w:r w:rsidRPr="00362727">
              <w:rPr>
                <w:rFonts w:asciiTheme="minorHAnsi" w:hAnsiTheme="minorHAnsi"/>
              </w:rPr>
              <w:t xml:space="preserve"> Third party processors are prohibited from withdrawal access to trust bank account(s).</w:t>
            </w:r>
          </w:p>
          <w:p w:rsidR="00362727" w:rsidRPr="00362727" w:rsidRDefault="00362727" w:rsidP="00362727">
            <w:pPr>
              <w:pStyle w:val="ListParagraph"/>
              <w:numPr>
                <w:ilvl w:val="0"/>
                <w:numId w:val="43"/>
              </w:numPr>
              <w:jc w:val="both"/>
              <w:rPr>
                <w:rFonts w:asciiTheme="minorHAnsi" w:hAnsiTheme="minorHAnsi"/>
              </w:rPr>
            </w:pPr>
            <w:r w:rsidRPr="00362727">
              <w:rPr>
                <w:rFonts w:asciiTheme="minorHAnsi" w:hAnsiTheme="minorHAnsi"/>
              </w:rPr>
              <w:t>Deposits in transit are not considered trust monies when determining whether sufficient funds are available for client remittances.</w:t>
            </w:r>
          </w:p>
          <w:p w:rsidR="00362727" w:rsidRPr="00362727" w:rsidRDefault="00362727" w:rsidP="00362727">
            <w:pPr>
              <w:pStyle w:val="ListParagraph"/>
              <w:numPr>
                <w:ilvl w:val="0"/>
                <w:numId w:val="43"/>
              </w:numPr>
              <w:jc w:val="both"/>
              <w:rPr>
                <w:rFonts w:asciiTheme="minorHAnsi" w:hAnsiTheme="minorHAnsi"/>
              </w:rPr>
            </w:pPr>
            <w:r w:rsidRPr="00362727">
              <w:rPr>
                <w:rFonts w:asciiTheme="minorHAnsi" w:hAnsiTheme="minorHAnsi"/>
              </w:rPr>
              <w:t>Cancelled checks or copies of front and back must be maintained</w:t>
            </w:r>
          </w:p>
        </w:tc>
        <w:tc>
          <w:tcPr>
            <w:tcW w:w="6480" w:type="dxa"/>
            <w:shd w:val="clear" w:color="auto" w:fill="auto"/>
          </w:tcPr>
          <w:p w:rsidR="00362727" w:rsidRDefault="00362727" w:rsidP="00362727">
            <w:pPr>
              <w:pStyle w:val="ListParagraph"/>
              <w:numPr>
                <w:ilvl w:val="0"/>
                <w:numId w:val="48"/>
              </w:numPr>
              <w:rPr>
                <w:rFonts w:ascii="Calibri" w:hAnsi="Calibri" w:cs="Calibri"/>
              </w:rPr>
            </w:pPr>
          </w:p>
          <w:p w:rsidR="00362727" w:rsidRDefault="00362727" w:rsidP="00362727">
            <w:pPr>
              <w:pStyle w:val="ListParagraph"/>
              <w:rPr>
                <w:rFonts w:ascii="Calibri" w:hAnsi="Calibri" w:cs="Calibri"/>
              </w:rPr>
            </w:pPr>
          </w:p>
          <w:p w:rsidR="00362727" w:rsidRDefault="00362727" w:rsidP="00362727">
            <w:pPr>
              <w:pStyle w:val="ListParagraph"/>
              <w:rPr>
                <w:rFonts w:ascii="Calibri" w:hAnsi="Calibri" w:cs="Calibri"/>
              </w:rPr>
            </w:pPr>
          </w:p>
          <w:p w:rsidR="00362727" w:rsidRDefault="00362727" w:rsidP="00362727">
            <w:pPr>
              <w:pStyle w:val="ListParagraph"/>
              <w:numPr>
                <w:ilvl w:val="0"/>
                <w:numId w:val="48"/>
              </w:numPr>
              <w:rPr>
                <w:rFonts w:ascii="Calibri" w:hAnsi="Calibri" w:cs="Calibri"/>
              </w:rPr>
            </w:pPr>
          </w:p>
          <w:p w:rsidR="00362727" w:rsidRPr="004F7A4A" w:rsidRDefault="00362727" w:rsidP="00362727">
            <w:pPr>
              <w:pStyle w:val="ListParagraph"/>
              <w:rPr>
                <w:rFonts w:ascii="Calibri" w:hAnsi="Calibri" w:cs="Calibri"/>
              </w:rPr>
            </w:pPr>
          </w:p>
          <w:p w:rsidR="00362727" w:rsidRDefault="00362727" w:rsidP="00362727">
            <w:pPr>
              <w:pStyle w:val="ListParagraph"/>
              <w:rPr>
                <w:rFonts w:ascii="Calibri" w:hAnsi="Calibri" w:cs="Calibri"/>
              </w:rPr>
            </w:pPr>
          </w:p>
          <w:p w:rsidR="00362727" w:rsidRPr="004F7A4A" w:rsidRDefault="00362727" w:rsidP="00362727">
            <w:pPr>
              <w:pStyle w:val="ListParagraph"/>
              <w:numPr>
                <w:ilvl w:val="0"/>
                <w:numId w:val="48"/>
              </w:numPr>
              <w:rPr>
                <w:rFonts w:ascii="Calibri" w:hAnsi="Calibri" w:cs="Calibri"/>
              </w:rPr>
            </w:pPr>
          </w:p>
        </w:tc>
      </w:tr>
    </w:tbl>
    <w:p w:rsidR="004F7A4A" w:rsidRDefault="004F7A4A" w:rsidP="004F30BA">
      <w:pPr>
        <w:rPr>
          <w:rFonts w:ascii="Calibri" w:hAnsi="Calibri" w:cs="Calibri"/>
        </w:rPr>
      </w:pPr>
    </w:p>
    <w:p w:rsidR="00DF339F" w:rsidRDefault="00DF339F" w:rsidP="004F30B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0"/>
      </w:tblGrid>
      <w:tr w:rsidR="00D9795B" w:rsidRPr="00880078" w:rsidTr="00346A3F">
        <w:tc>
          <w:tcPr>
            <w:tcW w:w="12960" w:type="dxa"/>
            <w:shd w:val="clear" w:color="auto" w:fill="auto"/>
          </w:tcPr>
          <w:p w:rsidR="00D9795B" w:rsidRDefault="00D9795B" w:rsidP="00346A3F">
            <w:pPr>
              <w:rPr>
                <w:rFonts w:ascii="Calibri" w:hAnsi="Calibri" w:cs="Calibri"/>
                <w:b/>
              </w:rPr>
            </w:pPr>
          </w:p>
          <w:p w:rsidR="00D9795B" w:rsidRPr="003D6B4B" w:rsidRDefault="00D9795B" w:rsidP="00346A3F">
            <w:pPr>
              <w:rPr>
                <w:rFonts w:ascii="Calibri" w:hAnsi="Calibri" w:cs="Calibri"/>
                <w:b/>
              </w:rPr>
            </w:pPr>
            <w:r w:rsidRPr="003D6B4B">
              <w:rPr>
                <w:rFonts w:ascii="Calibri" w:hAnsi="Calibri" w:cs="Calibri"/>
                <w:b/>
              </w:rPr>
              <w:t>INSERT COMMENTS FOR USE IN THE EXAMINTION REPORT.  COMMENTS SHOULD INCLUDE ANY REQUIRED CORRECTIVE ACTIONS IF DEFICIENCIES ARE FOUND.</w:t>
            </w:r>
          </w:p>
          <w:p w:rsidR="00D9795B" w:rsidRPr="003D6B4B" w:rsidRDefault="00D9795B" w:rsidP="00346A3F">
            <w:pPr>
              <w:rPr>
                <w:rFonts w:ascii="Calibri" w:hAnsi="Calibri" w:cs="Calibri"/>
              </w:rPr>
            </w:pPr>
            <w:r w:rsidRPr="003D6B4B">
              <w:rPr>
                <w:rFonts w:ascii="Calibri" w:hAnsi="Calibri" w:cs="Calibri"/>
              </w:rPr>
              <w:t xml:space="preserve">When drafting these comments, use Times New Roman, 12 </w:t>
            </w:r>
            <w:proofErr w:type="spellStart"/>
            <w:r w:rsidRPr="003D6B4B">
              <w:rPr>
                <w:rFonts w:ascii="Calibri" w:hAnsi="Calibri" w:cs="Calibri"/>
              </w:rPr>
              <w:t>pt</w:t>
            </w:r>
            <w:proofErr w:type="spellEnd"/>
            <w:r w:rsidRPr="003D6B4B">
              <w:rPr>
                <w:rFonts w:ascii="Calibri" w:hAnsi="Calibri" w:cs="Calibri"/>
              </w:rPr>
              <w:t xml:space="preserve"> font and justify the right margin.  </w:t>
            </w: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Default="00D9795B" w:rsidP="00346A3F">
            <w:pPr>
              <w:rPr>
                <w:rFonts w:ascii="Calibri" w:hAnsi="Calibri" w:cs="Calibri"/>
              </w:rPr>
            </w:pPr>
          </w:p>
          <w:p w:rsidR="00D9795B" w:rsidRPr="00880078" w:rsidRDefault="00D9795B" w:rsidP="00346A3F">
            <w:pPr>
              <w:rPr>
                <w:rFonts w:ascii="Calibri" w:hAnsi="Calibri" w:cs="Calibri"/>
              </w:rPr>
            </w:pPr>
          </w:p>
        </w:tc>
      </w:tr>
    </w:tbl>
    <w:p w:rsidR="00793160" w:rsidRDefault="00793160" w:rsidP="00DF339F">
      <w:pPr>
        <w:rPr>
          <w:rFonts w:ascii="Calibri" w:hAnsi="Calibri" w:cs="Calibri"/>
        </w:rPr>
      </w:pPr>
    </w:p>
    <w:sectPr w:rsidR="00793160" w:rsidSect="00793160">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A2" w:rsidRDefault="004E64A2" w:rsidP="001F0083">
      <w:r>
        <w:separator/>
      </w:r>
    </w:p>
  </w:endnote>
  <w:endnote w:type="continuationSeparator" w:id="0">
    <w:p w:rsidR="004E64A2" w:rsidRDefault="004E64A2"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E" w:rsidRPr="001C3489" w:rsidRDefault="007B65EE"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00E35B9E"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00E35B9E" w:rsidRPr="001C3489">
      <w:rPr>
        <w:rStyle w:val="PageNumber"/>
        <w:rFonts w:ascii="Calibri" w:hAnsi="Calibri" w:cs="Calibri"/>
        <w:b w:val="0"/>
        <w:sz w:val="20"/>
        <w:szCs w:val="20"/>
      </w:rPr>
      <w:fldChar w:fldCharType="separate"/>
    </w:r>
    <w:r w:rsidR="00101502">
      <w:rPr>
        <w:rStyle w:val="PageNumber"/>
        <w:rFonts w:ascii="Calibri" w:hAnsi="Calibri" w:cs="Calibri"/>
        <w:b w:val="0"/>
        <w:noProof/>
        <w:sz w:val="20"/>
        <w:szCs w:val="20"/>
      </w:rPr>
      <w:t>2</w:t>
    </w:r>
    <w:r w:rsidR="00E35B9E"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E" w:rsidRPr="001C3489" w:rsidRDefault="00153BCB"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 xml:space="preserve"> Trust Module V.3</w:t>
    </w:r>
    <w:r w:rsidR="007B65EE" w:rsidRPr="001C3489">
      <w:rPr>
        <w:rFonts w:ascii="Calibri" w:hAnsi="Calibri" w:cs="Calibri"/>
        <w:b/>
        <w:sz w:val="20"/>
        <w:szCs w:val="20"/>
      </w:rPr>
      <w:t xml:space="preserve"> (</w:t>
    </w:r>
    <w:r>
      <w:rPr>
        <w:rFonts w:ascii="Calibri" w:hAnsi="Calibri" w:cs="Calibri"/>
        <w:b/>
        <w:sz w:val="20"/>
        <w:szCs w:val="20"/>
      </w:rPr>
      <w:t>February</w:t>
    </w:r>
    <w:r w:rsidR="00362727">
      <w:rPr>
        <w:rFonts w:ascii="Calibri" w:hAnsi="Calibri" w:cs="Calibri"/>
        <w:b/>
        <w:sz w:val="20"/>
        <w:szCs w:val="20"/>
      </w:rPr>
      <w:t xml:space="preserve"> 2016</w:t>
    </w:r>
    <w:r w:rsidR="007B65EE" w:rsidRPr="001C3489">
      <w:rPr>
        <w:rFonts w:ascii="Calibri" w:hAnsi="Calibri" w:cs="Calibri"/>
        <w:b/>
        <w:sz w:val="20"/>
        <w:szCs w:val="20"/>
      </w:rPr>
      <w:t>)</w:t>
    </w:r>
    <w:r w:rsidR="007B65EE" w:rsidRPr="001C3489">
      <w:rPr>
        <w:rFonts w:ascii="Calibri" w:hAnsi="Calibri" w:cs="Calibri"/>
        <w:b/>
        <w:sz w:val="20"/>
        <w:szCs w:val="20"/>
      </w:rPr>
      <w:tab/>
    </w:r>
    <w:r w:rsidR="007B65EE">
      <w:rPr>
        <w:rFonts w:ascii="Calibri" w:hAnsi="Calibri" w:cs="Calibri"/>
        <w:b/>
        <w:sz w:val="20"/>
        <w:szCs w:val="20"/>
      </w:rPr>
      <w:t>Page</w:t>
    </w:r>
    <w:r w:rsidR="007B65EE" w:rsidRPr="001C3489">
      <w:rPr>
        <w:rFonts w:ascii="Calibri" w:hAnsi="Calibri" w:cs="Calibri"/>
        <w:b/>
        <w:sz w:val="20"/>
        <w:szCs w:val="20"/>
      </w:rPr>
      <w:t xml:space="preserve"> </w:t>
    </w:r>
    <w:r w:rsidR="00E35B9E" w:rsidRPr="001C3489">
      <w:rPr>
        <w:rStyle w:val="PageNumber"/>
        <w:rFonts w:ascii="Calibri" w:hAnsi="Calibri" w:cs="Calibri"/>
        <w:b w:val="0"/>
        <w:sz w:val="20"/>
        <w:szCs w:val="20"/>
      </w:rPr>
      <w:fldChar w:fldCharType="begin"/>
    </w:r>
    <w:r w:rsidR="007B65EE" w:rsidRPr="001C3489">
      <w:rPr>
        <w:rStyle w:val="PageNumber"/>
        <w:rFonts w:ascii="Calibri" w:hAnsi="Calibri" w:cs="Calibri"/>
        <w:b w:val="0"/>
        <w:sz w:val="20"/>
        <w:szCs w:val="20"/>
      </w:rPr>
      <w:instrText xml:space="preserve"> PAGE </w:instrText>
    </w:r>
    <w:r w:rsidR="00E35B9E"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1</w:t>
    </w:r>
    <w:r w:rsidR="00E35B9E" w:rsidRPr="001C3489">
      <w:rPr>
        <w:rStyle w:val="PageNumber"/>
        <w:rFonts w:ascii="Calibri" w:hAnsi="Calibri" w:cs="Calibri"/>
        <w:b w:val="0"/>
        <w:sz w:val="20"/>
        <w:szCs w:val="20"/>
      </w:rPr>
      <w:fldChar w:fldCharType="end"/>
    </w:r>
  </w:p>
  <w:p w:rsidR="007B65EE" w:rsidRPr="001C3489" w:rsidRDefault="007B65EE">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E" w:rsidRPr="001C3489" w:rsidRDefault="007B65EE"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r>
    <w:r w:rsidR="00153BCB">
      <w:rPr>
        <w:rFonts w:ascii="Calibri" w:hAnsi="Calibri" w:cs="Calibri"/>
        <w:b/>
        <w:sz w:val="20"/>
        <w:szCs w:val="20"/>
      </w:rPr>
      <w:t>Trust Module V.3</w:t>
    </w:r>
    <w:r w:rsidR="009E7051" w:rsidRPr="001C3489">
      <w:rPr>
        <w:rFonts w:ascii="Calibri" w:hAnsi="Calibri" w:cs="Calibri"/>
        <w:b/>
        <w:sz w:val="20"/>
        <w:szCs w:val="20"/>
      </w:rPr>
      <w:t xml:space="preserve"> (</w:t>
    </w:r>
    <w:r w:rsidR="00153BCB">
      <w:rPr>
        <w:rFonts w:ascii="Calibri" w:hAnsi="Calibri" w:cs="Calibri"/>
        <w:b/>
        <w:sz w:val="20"/>
        <w:szCs w:val="20"/>
      </w:rPr>
      <w:t>February</w:t>
    </w:r>
    <w:r w:rsidR="009E7051">
      <w:rPr>
        <w:rFonts w:ascii="Calibri" w:hAnsi="Calibri" w:cs="Calibri"/>
        <w:b/>
        <w:sz w:val="20"/>
        <w:szCs w:val="20"/>
      </w:rPr>
      <w:t xml:space="preserve"> 2016</w:t>
    </w:r>
    <w:r w:rsidR="009E7051"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00E35B9E"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00E35B9E" w:rsidRPr="001C3489">
      <w:rPr>
        <w:rStyle w:val="PageNumber"/>
        <w:rFonts w:ascii="Calibri" w:hAnsi="Calibri" w:cs="Calibri"/>
        <w:b w:val="0"/>
        <w:sz w:val="20"/>
        <w:szCs w:val="20"/>
      </w:rPr>
      <w:fldChar w:fldCharType="separate"/>
    </w:r>
    <w:r w:rsidR="00153BCB">
      <w:rPr>
        <w:rStyle w:val="PageNumber"/>
        <w:rFonts w:ascii="Calibri" w:hAnsi="Calibri" w:cs="Calibri"/>
        <w:b w:val="0"/>
        <w:noProof/>
        <w:sz w:val="20"/>
        <w:szCs w:val="20"/>
      </w:rPr>
      <w:t>2</w:t>
    </w:r>
    <w:r w:rsidR="00E35B9E"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A2" w:rsidRDefault="004E64A2" w:rsidP="001F0083">
      <w:r>
        <w:separator/>
      </w:r>
    </w:p>
  </w:footnote>
  <w:footnote w:type="continuationSeparator" w:id="0">
    <w:p w:rsidR="004E64A2" w:rsidRDefault="004E64A2"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E" w:rsidRPr="00733878" w:rsidRDefault="007B65EE"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7B65EE" w:rsidRPr="00733878" w:rsidRDefault="007B65EE"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Trust Account</w:t>
    </w:r>
    <w:r w:rsidRPr="00733878">
      <w:rPr>
        <w:rFonts w:ascii="Gill Sans MT" w:hAnsi="Gill Sans MT"/>
        <w:b/>
        <w:sz w:val="36"/>
        <w:szCs w:val="36"/>
      </w:rPr>
      <w:t xml:space="preserve"> Review</w:t>
    </w:r>
  </w:p>
  <w:p w:rsidR="007B65EE" w:rsidRPr="006B6EDF" w:rsidRDefault="003446EE"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fldSimple w:instr=" STYLEREF  DOB1  \* MERGEFORMAT ">
      <w:r w:rsidR="00153BCB" w:rsidRPr="00153BCB">
        <w:rPr>
          <w:rFonts w:ascii="Gill Sans MT" w:hAnsi="Gill Sans MT"/>
          <w:b/>
          <w:noProof/>
          <w:sz w:val="20"/>
          <w:szCs w:val="20"/>
        </w:rPr>
        <w:t>Entity Name:</w:t>
      </w:r>
      <w:r w:rsidR="00153BCB" w:rsidRPr="00153BCB">
        <w:rPr>
          <w:rFonts w:ascii="Gill Sans MT" w:hAnsi="Gill Sans MT"/>
          <w:b/>
          <w:noProof/>
          <w:sz w:val="20"/>
          <w:szCs w:val="20"/>
        </w:rPr>
        <w:tab/>
      </w:r>
      <w:r w:rsidR="00153BCB" w:rsidRPr="00153BCB">
        <w:rPr>
          <w:rFonts w:ascii="Gill Sans MT" w:hAnsi="Gill Sans MT" w:cs="Arial"/>
          <w:b/>
          <w:noProof/>
          <w:sz w:val="20"/>
          <w:szCs w:val="20"/>
        </w:rPr>
        <w:t>Prepared by:</w:t>
      </w:r>
    </w:fldSimple>
  </w:p>
  <w:p w:rsidR="007B65EE" w:rsidRPr="006B6EDF" w:rsidRDefault="003446EE"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fldSimple w:instr=" STYLEREF  DOB2  \* MERGEFORMAT ">
      <w:r w:rsidR="00153BCB" w:rsidRPr="00153BCB">
        <w:rPr>
          <w:rFonts w:ascii="Gill Sans MT" w:hAnsi="Gill Sans MT"/>
          <w:b/>
          <w:noProof/>
          <w:sz w:val="20"/>
          <w:szCs w:val="20"/>
        </w:rPr>
        <w:t xml:space="preserve">NMLS/License Number: </w:t>
      </w:r>
      <w:r w:rsidR="00153BCB" w:rsidRPr="00153BCB">
        <w:rPr>
          <w:rFonts w:ascii="Gill Sans MT" w:hAnsi="Gill Sans MT"/>
          <w:b/>
          <w:noProof/>
          <w:sz w:val="20"/>
          <w:szCs w:val="20"/>
        </w:rPr>
        <w:tab/>
        <w:t>Date:</w:t>
      </w:r>
    </w:fldSimple>
  </w:p>
  <w:p w:rsidR="007B65EE" w:rsidRPr="00733878" w:rsidRDefault="007B65EE"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EE" w:rsidRPr="00A47C6E" w:rsidRDefault="007B65EE"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7B65EE" w:rsidRPr="00963DD2" w:rsidRDefault="007B65EE"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Trust Account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2C"/>
    <w:multiLevelType w:val="hybridMultilevel"/>
    <w:tmpl w:val="FF10C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1FE4"/>
    <w:multiLevelType w:val="hybridMultilevel"/>
    <w:tmpl w:val="27F6602E"/>
    <w:lvl w:ilvl="0" w:tplc="1C74E5B4">
      <w:start w:val="1"/>
      <w:numFmt w:val="upperRoman"/>
      <w:lvlText w:val="%1."/>
      <w:lvlJc w:val="left"/>
      <w:pPr>
        <w:ind w:left="720" w:hanging="72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2694B"/>
    <w:multiLevelType w:val="hybridMultilevel"/>
    <w:tmpl w:val="850A4C4C"/>
    <w:lvl w:ilvl="0" w:tplc="EF74C8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05CEE"/>
    <w:multiLevelType w:val="hybridMultilevel"/>
    <w:tmpl w:val="DBB2FD6E"/>
    <w:lvl w:ilvl="0" w:tplc="F374646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19CD"/>
    <w:multiLevelType w:val="hybridMultilevel"/>
    <w:tmpl w:val="E4EA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B5D4F"/>
    <w:multiLevelType w:val="hybridMultilevel"/>
    <w:tmpl w:val="D6F02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08D5"/>
    <w:multiLevelType w:val="hybridMultilevel"/>
    <w:tmpl w:val="29BA1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2425"/>
    <w:multiLevelType w:val="hybridMultilevel"/>
    <w:tmpl w:val="AFB4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B5833"/>
    <w:multiLevelType w:val="hybridMultilevel"/>
    <w:tmpl w:val="E16A400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261C2D"/>
    <w:multiLevelType w:val="hybridMultilevel"/>
    <w:tmpl w:val="23CA566A"/>
    <w:lvl w:ilvl="0" w:tplc="07E2AB92">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C57C2"/>
    <w:multiLevelType w:val="hybridMultilevel"/>
    <w:tmpl w:val="C936D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06937"/>
    <w:multiLevelType w:val="hybridMultilevel"/>
    <w:tmpl w:val="3878A666"/>
    <w:lvl w:ilvl="0" w:tplc="45345D3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A0A3D"/>
    <w:multiLevelType w:val="hybridMultilevel"/>
    <w:tmpl w:val="4560F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13938"/>
    <w:multiLevelType w:val="hybridMultilevel"/>
    <w:tmpl w:val="D188F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5226FB"/>
    <w:multiLevelType w:val="hybridMultilevel"/>
    <w:tmpl w:val="F11A2E50"/>
    <w:lvl w:ilvl="0" w:tplc="1D6E5D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20075"/>
    <w:multiLevelType w:val="hybridMultilevel"/>
    <w:tmpl w:val="F446B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C42CBE"/>
    <w:multiLevelType w:val="hybridMultilevel"/>
    <w:tmpl w:val="C7885E0C"/>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1E0D68"/>
    <w:multiLevelType w:val="hybridMultilevel"/>
    <w:tmpl w:val="E6DABDBC"/>
    <w:lvl w:ilvl="0" w:tplc="2C2E6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11806"/>
    <w:multiLevelType w:val="hybridMultilevel"/>
    <w:tmpl w:val="B608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7636E4"/>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BA39E4"/>
    <w:multiLevelType w:val="hybridMultilevel"/>
    <w:tmpl w:val="B2A283B6"/>
    <w:lvl w:ilvl="0" w:tplc="7D5CB3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4169D4"/>
    <w:multiLevelType w:val="hybridMultilevel"/>
    <w:tmpl w:val="7056196C"/>
    <w:lvl w:ilvl="0" w:tplc="8CD6668E">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A55DC"/>
    <w:multiLevelType w:val="hybridMultilevel"/>
    <w:tmpl w:val="63BA3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D886F9A"/>
    <w:multiLevelType w:val="hybridMultilevel"/>
    <w:tmpl w:val="8FAE8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C04897"/>
    <w:multiLevelType w:val="hybridMultilevel"/>
    <w:tmpl w:val="50BC9CDE"/>
    <w:lvl w:ilvl="0" w:tplc="74A68EC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E26F5"/>
    <w:multiLevelType w:val="hybridMultilevel"/>
    <w:tmpl w:val="3D5C4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757BAD"/>
    <w:multiLevelType w:val="hybridMultilevel"/>
    <w:tmpl w:val="D8B8A374"/>
    <w:lvl w:ilvl="0" w:tplc="32B24A36">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1163BE"/>
    <w:multiLevelType w:val="hybridMultilevel"/>
    <w:tmpl w:val="D9A2D83E"/>
    <w:lvl w:ilvl="0" w:tplc="74CAE75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DE54DC"/>
    <w:multiLevelType w:val="hybridMultilevel"/>
    <w:tmpl w:val="72245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610516"/>
    <w:multiLevelType w:val="hybridMultilevel"/>
    <w:tmpl w:val="9672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41623"/>
    <w:multiLevelType w:val="hybridMultilevel"/>
    <w:tmpl w:val="D4BE1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651AA"/>
    <w:multiLevelType w:val="hybridMultilevel"/>
    <w:tmpl w:val="E86AD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4EE3"/>
    <w:multiLevelType w:val="hybridMultilevel"/>
    <w:tmpl w:val="2A381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E5CB1"/>
    <w:multiLevelType w:val="hybridMultilevel"/>
    <w:tmpl w:val="ACA0F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1741B"/>
    <w:multiLevelType w:val="hybridMultilevel"/>
    <w:tmpl w:val="E132F220"/>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0C5A25"/>
    <w:multiLevelType w:val="hybridMultilevel"/>
    <w:tmpl w:val="8ADC8E62"/>
    <w:lvl w:ilvl="0" w:tplc="E8C670E4">
      <w:start w:val="1"/>
      <w:numFmt w:val="upperRoman"/>
      <w:lvlText w:val="%1."/>
      <w:lvlJc w:val="left"/>
      <w:pPr>
        <w:ind w:left="360" w:hanging="36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5E550B"/>
    <w:multiLevelType w:val="hybridMultilevel"/>
    <w:tmpl w:val="26C6D14E"/>
    <w:lvl w:ilvl="0" w:tplc="7B1C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443784"/>
    <w:multiLevelType w:val="hybridMultilevel"/>
    <w:tmpl w:val="EFBA7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465FE6"/>
    <w:multiLevelType w:val="hybridMultilevel"/>
    <w:tmpl w:val="77A6B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624EFC"/>
    <w:multiLevelType w:val="hybridMultilevel"/>
    <w:tmpl w:val="3D184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A6AB6"/>
    <w:multiLevelType w:val="hybridMultilevel"/>
    <w:tmpl w:val="10500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54439D"/>
    <w:multiLevelType w:val="hybridMultilevel"/>
    <w:tmpl w:val="492A5080"/>
    <w:lvl w:ilvl="0" w:tplc="BE70414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B02C6"/>
    <w:multiLevelType w:val="hybridMultilevel"/>
    <w:tmpl w:val="0ADCECA4"/>
    <w:lvl w:ilvl="0" w:tplc="1EA634D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63E6A"/>
    <w:multiLevelType w:val="hybridMultilevel"/>
    <w:tmpl w:val="3AE23AB2"/>
    <w:lvl w:ilvl="0" w:tplc="3BFA4F7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4D06D3"/>
    <w:multiLevelType w:val="hybridMultilevel"/>
    <w:tmpl w:val="F1DA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E260E"/>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FD3616"/>
    <w:multiLevelType w:val="hybridMultilevel"/>
    <w:tmpl w:val="401C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18"/>
  </w:num>
  <w:num w:numId="4">
    <w:abstractNumId w:val="28"/>
  </w:num>
  <w:num w:numId="5">
    <w:abstractNumId w:val="15"/>
  </w:num>
  <w:num w:numId="6">
    <w:abstractNumId w:val="39"/>
  </w:num>
  <w:num w:numId="7">
    <w:abstractNumId w:val="0"/>
  </w:num>
  <w:num w:numId="8">
    <w:abstractNumId w:val="6"/>
  </w:num>
  <w:num w:numId="9">
    <w:abstractNumId w:val="41"/>
  </w:num>
  <w:num w:numId="10">
    <w:abstractNumId w:val="7"/>
  </w:num>
  <w:num w:numId="11">
    <w:abstractNumId w:val="10"/>
  </w:num>
  <w:num w:numId="12">
    <w:abstractNumId w:val="29"/>
  </w:num>
  <w:num w:numId="13">
    <w:abstractNumId w:val="4"/>
  </w:num>
  <w:num w:numId="14">
    <w:abstractNumId w:val="47"/>
  </w:num>
  <w:num w:numId="15">
    <w:abstractNumId w:val="19"/>
  </w:num>
  <w:num w:numId="16">
    <w:abstractNumId w:val="16"/>
  </w:num>
  <w:num w:numId="17">
    <w:abstractNumId w:val="36"/>
  </w:num>
  <w:num w:numId="18">
    <w:abstractNumId w:val="27"/>
  </w:num>
  <w:num w:numId="19">
    <w:abstractNumId w:val="9"/>
  </w:num>
  <w:num w:numId="20">
    <w:abstractNumId w:val="35"/>
  </w:num>
  <w:num w:numId="21">
    <w:abstractNumId w:val="1"/>
  </w:num>
  <w:num w:numId="22">
    <w:abstractNumId w:val="13"/>
  </w:num>
  <w:num w:numId="23">
    <w:abstractNumId w:val="31"/>
  </w:num>
  <w:num w:numId="24">
    <w:abstractNumId w:val="46"/>
  </w:num>
  <w:num w:numId="25">
    <w:abstractNumId w:val="11"/>
  </w:num>
  <w:num w:numId="26">
    <w:abstractNumId w:val="24"/>
  </w:num>
  <w:num w:numId="27">
    <w:abstractNumId w:val="20"/>
  </w:num>
  <w:num w:numId="28">
    <w:abstractNumId w:val="23"/>
  </w:num>
  <w:num w:numId="29">
    <w:abstractNumId w:val="14"/>
  </w:num>
  <w:num w:numId="30">
    <w:abstractNumId w:val="37"/>
  </w:num>
  <w:num w:numId="31">
    <w:abstractNumId w:val="17"/>
  </w:num>
  <w:num w:numId="32">
    <w:abstractNumId w:val="27"/>
    <w:lvlOverride w:ilvl="0">
      <w:startOverride w:val="1"/>
    </w:lvlOverride>
  </w:num>
  <w:num w:numId="33">
    <w:abstractNumId w:val="21"/>
  </w:num>
  <w:num w:numId="34">
    <w:abstractNumId w:val="26"/>
  </w:num>
  <w:num w:numId="35">
    <w:abstractNumId w:val="5"/>
  </w:num>
  <w:num w:numId="36">
    <w:abstractNumId w:val="43"/>
  </w:num>
  <w:num w:numId="37">
    <w:abstractNumId w:val="8"/>
  </w:num>
  <w:num w:numId="38">
    <w:abstractNumId w:val="44"/>
  </w:num>
  <w:num w:numId="39">
    <w:abstractNumId w:val="2"/>
  </w:num>
  <w:num w:numId="40">
    <w:abstractNumId w:val="45"/>
  </w:num>
  <w:num w:numId="41">
    <w:abstractNumId w:val="30"/>
  </w:num>
  <w:num w:numId="42">
    <w:abstractNumId w:val="3"/>
  </w:num>
  <w:num w:numId="43">
    <w:abstractNumId w:val="40"/>
  </w:num>
  <w:num w:numId="44">
    <w:abstractNumId w:val="34"/>
  </w:num>
  <w:num w:numId="45">
    <w:abstractNumId w:val="48"/>
  </w:num>
  <w:num w:numId="46">
    <w:abstractNumId w:val="38"/>
  </w:num>
  <w:num w:numId="47">
    <w:abstractNumId w:val="33"/>
  </w:num>
  <w:num w:numId="48">
    <w:abstractNumId w:val="32"/>
  </w:num>
  <w:num w:numId="49">
    <w:abstractNumId w:val="2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E76FCF"/>
    <w:rsid w:val="000116D5"/>
    <w:rsid w:val="0002393E"/>
    <w:rsid w:val="00026A5E"/>
    <w:rsid w:val="00031CA3"/>
    <w:rsid w:val="00050F41"/>
    <w:rsid w:val="000637FF"/>
    <w:rsid w:val="00070A51"/>
    <w:rsid w:val="00073B85"/>
    <w:rsid w:val="00090414"/>
    <w:rsid w:val="00094C91"/>
    <w:rsid w:val="000959A5"/>
    <w:rsid w:val="00095A22"/>
    <w:rsid w:val="00097582"/>
    <w:rsid w:val="000C1218"/>
    <w:rsid w:val="000C2260"/>
    <w:rsid w:val="000E0D53"/>
    <w:rsid w:val="000E2402"/>
    <w:rsid w:val="000E2CBF"/>
    <w:rsid w:val="000E4197"/>
    <w:rsid w:val="00101502"/>
    <w:rsid w:val="00113FA0"/>
    <w:rsid w:val="001233A4"/>
    <w:rsid w:val="00124BE3"/>
    <w:rsid w:val="00126B55"/>
    <w:rsid w:val="00145933"/>
    <w:rsid w:val="00153BCB"/>
    <w:rsid w:val="00177AF1"/>
    <w:rsid w:val="0018507D"/>
    <w:rsid w:val="001A1B1A"/>
    <w:rsid w:val="001A4980"/>
    <w:rsid w:val="001A7D97"/>
    <w:rsid w:val="001C2851"/>
    <w:rsid w:val="001C3489"/>
    <w:rsid w:val="001C63F4"/>
    <w:rsid w:val="001D66DC"/>
    <w:rsid w:val="001E2DD3"/>
    <w:rsid w:val="001E647F"/>
    <w:rsid w:val="001F0083"/>
    <w:rsid w:val="001F0658"/>
    <w:rsid w:val="00225322"/>
    <w:rsid w:val="00237A6C"/>
    <w:rsid w:val="002415FF"/>
    <w:rsid w:val="00261CE4"/>
    <w:rsid w:val="0026201E"/>
    <w:rsid w:val="00272CA8"/>
    <w:rsid w:val="0027559B"/>
    <w:rsid w:val="00276147"/>
    <w:rsid w:val="00277258"/>
    <w:rsid w:val="002828DB"/>
    <w:rsid w:val="00290F3C"/>
    <w:rsid w:val="002A46A2"/>
    <w:rsid w:val="002A76DE"/>
    <w:rsid w:val="002D08B1"/>
    <w:rsid w:val="002D3CA5"/>
    <w:rsid w:val="002D3FFB"/>
    <w:rsid w:val="002E09E7"/>
    <w:rsid w:val="002E1E63"/>
    <w:rsid w:val="002E216F"/>
    <w:rsid w:val="002E617F"/>
    <w:rsid w:val="002F6B15"/>
    <w:rsid w:val="00302CBB"/>
    <w:rsid w:val="00335CE1"/>
    <w:rsid w:val="003446EE"/>
    <w:rsid w:val="003477A7"/>
    <w:rsid w:val="00362727"/>
    <w:rsid w:val="00375B26"/>
    <w:rsid w:val="0038215F"/>
    <w:rsid w:val="003C11A0"/>
    <w:rsid w:val="003C787C"/>
    <w:rsid w:val="003D429A"/>
    <w:rsid w:val="003D53D4"/>
    <w:rsid w:val="003E076C"/>
    <w:rsid w:val="003E4711"/>
    <w:rsid w:val="003F1DAF"/>
    <w:rsid w:val="004052C4"/>
    <w:rsid w:val="00444542"/>
    <w:rsid w:val="004467EE"/>
    <w:rsid w:val="004627A7"/>
    <w:rsid w:val="004631BE"/>
    <w:rsid w:val="004673D9"/>
    <w:rsid w:val="00475AEB"/>
    <w:rsid w:val="004769B4"/>
    <w:rsid w:val="00476B45"/>
    <w:rsid w:val="004922B3"/>
    <w:rsid w:val="00494D3E"/>
    <w:rsid w:val="004A3B34"/>
    <w:rsid w:val="004A5397"/>
    <w:rsid w:val="004A7731"/>
    <w:rsid w:val="004B09BE"/>
    <w:rsid w:val="004E220B"/>
    <w:rsid w:val="004E3CDC"/>
    <w:rsid w:val="004E64A2"/>
    <w:rsid w:val="004E692B"/>
    <w:rsid w:val="004F1BD5"/>
    <w:rsid w:val="004F30BA"/>
    <w:rsid w:val="004F7A4A"/>
    <w:rsid w:val="005034C4"/>
    <w:rsid w:val="005131EB"/>
    <w:rsid w:val="00516437"/>
    <w:rsid w:val="00523B53"/>
    <w:rsid w:val="005309C7"/>
    <w:rsid w:val="00540C83"/>
    <w:rsid w:val="00540E77"/>
    <w:rsid w:val="00545CD2"/>
    <w:rsid w:val="005713BC"/>
    <w:rsid w:val="00584B4C"/>
    <w:rsid w:val="0058757C"/>
    <w:rsid w:val="00596560"/>
    <w:rsid w:val="005A24C4"/>
    <w:rsid w:val="005A2DF9"/>
    <w:rsid w:val="005D771F"/>
    <w:rsid w:val="005E2DF9"/>
    <w:rsid w:val="005E6702"/>
    <w:rsid w:val="00612DEE"/>
    <w:rsid w:val="006174D4"/>
    <w:rsid w:val="00622F87"/>
    <w:rsid w:val="00624434"/>
    <w:rsid w:val="006249A5"/>
    <w:rsid w:val="0065513D"/>
    <w:rsid w:val="00657F44"/>
    <w:rsid w:val="00664C4D"/>
    <w:rsid w:val="00680E88"/>
    <w:rsid w:val="00691817"/>
    <w:rsid w:val="00694BF0"/>
    <w:rsid w:val="00695D1C"/>
    <w:rsid w:val="0069676A"/>
    <w:rsid w:val="006A0336"/>
    <w:rsid w:val="006A67E2"/>
    <w:rsid w:val="006B6EDF"/>
    <w:rsid w:val="006E1C85"/>
    <w:rsid w:val="006E2B2A"/>
    <w:rsid w:val="006E4FB9"/>
    <w:rsid w:val="006E58A2"/>
    <w:rsid w:val="006F10F9"/>
    <w:rsid w:val="006F75B7"/>
    <w:rsid w:val="00714107"/>
    <w:rsid w:val="0071473D"/>
    <w:rsid w:val="00733878"/>
    <w:rsid w:val="00733921"/>
    <w:rsid w:val="00737BEB"/>
    <w:rsid w:val="00742A0F"/>
    <w:rsid w:val="00743B6D"/>
    <w:rsid w:val="00744A1D"/>
    <w:rsid w:val="007452F8"/>
    <w:rsid w:val="00750481"/>
    <w:rsid w:val="007838B9"/>
    <w:rsid w:val="00790B40"/>
    <w:rsid w:val="00793160"/>
    <w:rsid w:val="007B65EE"/>
    <w:rsid w:val="007C32F5"/>
    <w:rsid w:val="007C39BB"/>
    <w:rsid w:val="007E26AE"/>
    <w:rsid w:val="008069ED"/>
    <w:rsid w:val="00816314"/>
    <w:rsid w:val="00831E1D"/>
    <w:rsid w:val="00842624"/>
    <w:rsid w:val="00852A36"/>
    <w:rsid w:val="00880078"/>
    <w:rsid w:val="00885553"/>
    <w:rsid w:val="008C2EBB"/>
    <w:rsid w:val="008E6999"/>
    <w:rsid w:val="008F5544"/>
    <w:rsid w:val="008F6D98"/>
    <w:rsid w:val="00921F91"/>
    <w:rsid w:val="00937EFF"/>
    <w:rsid w:val="00943A85"/>
    <w:rsid w:val="009511FB"/>
    <w:rsid w:val="00962925"/>
    <w:rsid w:val="00963DD2"/>
    <w:rsid w:val="0097231A"/>
    <w:rsid w:val="009B7999"/>
    <w:rsid w:val="009D4CFE"/>
    <w:rsid w:val="009E47CD"/>
    <w:rsid w:val="009E7051"/>
    <w:rsid w:val="009F2730"/>
    <w:rsid w:val="009F2DCD"/>
    <w:rsid w:val="009F62D0"/>
    <w:rsid w:val="00A001AE"/>
    <w:rsid w:val="00A272DF"/>
    <w:rsid w:val="00A3121F"/>
    <w:rsid w:val="00A3281F"/>
    <w:rsid w:val="00A50F78"/>
    <w:rsid w:val="00A566E0"/>
    <w:rsid w:val="00A91C09"/>
    <w:rsid w:val="00AA232F"/>
    <w:rsid w:val="00AB693F"/>
    <w:rsid w:val="00AD2269"/>
    <w:rsid w:val="00AD7F03"/>
    <w:rsid w:val="00AE0DBF"/>
    <w:rsid w:val="00B3421F"/>
    <w:rsid w:val="00B4196B"/>
    <w:rsid w:val="00B65D34"/>
    <w:rsid w:val="00B802E7"/>
    <w:rsid w:val="00B804DE"/>
    <w:rsid w:val="00B95CFB"/>
    <w:rsid w:val="00BA066A"/>
    <w:rsid w:val="00BB1BF0"/>
    <w:rsid w:val="00BB33C9"/>
    <w:rsid w:val="00BB4F49"/>
    <w:rsid w:val="00BC1CC5"/>
    <w:rsid w:val="00BE34ED"/>
    <w:rsid w:val="00BE6C52"/>
    <w:rsid w:val="00C05037"/>
    <w:rsid w:val="00C117AE"/>
    <w:rsid w:val="00C2160F"/>
    <w:rsid w:val="00C2389E"/>
    <w:rsid w:val="00C2706F"/>
    <w:rsid w:val="00C333D4"/>
    <w:rsid w:val="00C3568D"/>
    <w:rsid w:val="00C544C1"/>
    <w:rsid w:val="00C63DDE"/>
    <w:rsid w:val="00C708BA"/>
    <w:rsid w:val="00C744D1"/>
    <w:rsid w:val="00CC6DED"/>
    <w:rsid w:val="00CC767B"/>
    <w:rsid w:val="00CD2241"/>
    <w:rsid w:val="00CF4056"/>
    <w:rsid w:val="00D02CBB"/>
    <w:rsid w:val="00D35AB5"/>
    <w:rsid w:val="00D42065"/>
    <w:rsid w:val="00D424E3"/>
    <w:rsid w:val="00D520CE"/>
    <w:rsid w:val="00D543E1"/>
    <w:rsid w:val="00D55A89"/>
    <w:rsid w:val="00D66897"/>
    <w:rsid w:val="00D66C1D"/>
    <w:rsid w:val="00D80024"/>
    <w:rsid w:val="00D80CA2"/>
    <w:rsid w:val="00D91D97"/>
    <w:rsid w:val="00D9795B"/>
    <w:rsid w:val="00DB10B5"/>
    <w:rsid w:val="00DB673A"/>
    <w:rsid w:val="00DB7EF9"/>
    <w:rsid w:val="00DE23F9"/>
    <w:rsid w:val="00DF339F"/>
    <w:rsid w:val="00E03F57"/>
    <w:rsid w:val="00E04CF2"/>
    <w:rsid w:val="00E13FF7"/>
    <w:rsid w:val="00E166C3"/>
    <w:rsid w:val="00E31C41"/>
    <w:rsid w:val="00E35B9E"/>
    <w:rsid w:val="00E378C3"/>
    <w:rsid w:val="00E44D1E"/>
    <w:rsid w:val="00E5477D"/>
    <w:rsid w:val="00E56DB2"/>
    <w:rsid w:val="00E727DD"/>
    <w:rsid w:val="00E76FCF"/>
    <w:rsid w:val="00E7711A"/>
    <w:rsid w:val="00EB268C"/>
    <w:rsid w:val="00EC05A7"/>
    <w:rsid w:val="00EE10D7"/>
    <w:rsid w:val="00F0169C"/>
    <w:rsid w:val="00F03889"/>
    <w:rsid w:val="00F22E9D"/>
    <w:rsid w:val="00F25ECE"/>
    <w:rsid w:val="00F30242"/>
    <w:rsid w:val="00F71591"/>
    <w:rsid w:val="00F920B0"/>
    <w:rsid w:val="00FB0049"/>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9E"/>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 w:type="paragraph" w:styleId="PlainText">
    <w:name w:val="Plain Text"/>
    <w:basedOn w:val="Normal"/>
    <w:link w:val="PlainTextChar"/>
    <w:uiPriority w:val="99"/>
    <w:semiHidden/>
    <w:unhideWhenUsed/>
    <w:rsid w:val="004F7A4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F7A4A"/>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5622">
      <w:bodyDiv w:val="1"/>
      <w:marLeft w:val="0"/>
      <w:marRight w:val="0"/>
      <w:marTop w:val="0"/>
      <w:marBottom w:val="0"/>
      <w:divBdr>
        <w:top w:val="none" w:sz="0" w:space="0" w:color="auto"/>
        <w:left w:val="none" w:sz="0" w:space="0" w:color="auto"/>
        <w:bottom w:val="none" w:sz="0" w:space="0" w:color="auto"/>
        <w:right w:val="none" w:sz="0" w:space="0" w:color="auto"/>
      </w:divBdr>
    </w:div>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38F6-3C79-4469-A8B9-C45F1AD226E8}">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3.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A9586E-87E8-4EBD-87B2-DC5A8D8E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3479</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2</cp:revision>
  <cp:lastPrinted>2015-09-04T16:16:00Z</cp:lastPrinted>
  <dcterms:created xsi:type="dcterms:W3CDTF">2016-02-25T16:41:00Z</dcterms:created>
  <dcterms:modified xsi:type="dcterms:W3CDTF">2016-02-25T16:41:00Z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